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205E1" w:rsidRPr="00245FA7" w:rsidRDefault="031A6374" w:rsidP="00245FA7">
      <w:pPr>
        <w:shd w:val="clear" w:color="auto" w:fill="FFFFFF" w:themeFill="background1"/>
        <w:spacing w:after="200"/>
        <w:ind w:right="561"/>
        <w:jc w:val="center"/>
        <w:rPr>
          <w:rFonts w:asciiTheme="majorHAnsi" w:eastAsia="Arial Narrow" w:hAnsiTheme="majorHAnsi" w:cstheme="majorHAnsi"/>
          <w:b/>
          <w:bCs/>
          <w:sz w:val="24"/>
          <w:szCs w:val="24"/>
        </w:rPr>
      </w:pPr>
      <w:bookmarkStart w:id="0" w:name="_Int_HYsNOWz7"/>
      <w:r w:rsidRPr="00245FA7">
        <w:rPr>
          <w:rFonts w:asciiTheme="majorHAnsi" w:eastAsia="Arial Narrow" w:hAnsiTheme="majorHAnsi" w:cstheme="majorHAnsi"/>
          <w:b/>
          <w:bCs/>
          <w:sz w:val="24"/>
          <w:szCs w:val="24"/>
        </w:rPr>
        <w:t>ANEXO V</w:t>
      </w:r>
      <w:bookmarkEnd w:id="0"/>
    </w:p>
    <w:p w14:paraId="00000002" w14:textId="77777777" w:rsidR="00B205E1" w:rsidRPr="00245FA7" w:rsidRDefault="007172A7" w:rsidP="00245FA7">
      <w:pPr>
        <w:shd w:val="clear" w:color="auto" w:fill="FFFFFF"/>
        <w:spacing w:after="200"/>
        <w:ind w:right="561"/>
        <w:jc w:val="center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 xml:space="preserve">MINUTA DE </w:t>
      </w:r>
      <w:r w:rsidRPr="00245FA7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TERMO DE COLABORAÇÃO</w:t>
      </w:r>
    </w:p>
    <w:p w14:paraId="00000003" w14:textId="77777777" w:rsidR="00B205E1" w:rsidRPr="00245FA7" w:rsidRDefault="00B205E1" w:rsidP="00245FA7">
      <w:pPr>
        <w:shd w:val="clear" w:color="auto" w:fill="FFFFFF"/>
        <w:spacing w:before="120"/>
        <w:ind w:right="1140"/>
        <w:jc w:val="center"/>
        <w:rPr>
          <w:rFonts w:asciiTheme="majorHAnsi" w:eastAsia="Arial Narrow" w:hAnsiTheme="majorHAnsi" w:cstheme="majorHAnsi"/>
          <w:b/>
          <w:color w:val="000000"/>
          <w:sz w:val="24"/>
          <w:szCs w:val="24"/>
        </w:rPr>
      </w:pPr>
    </w:p>
    <w:p w14:paraId="00000004" w14:textId="77777777" w:rsidR="00B205E1" w:rsidRPr="00245FA7" w:rsidRDefault="031A6374" w:rsidP="00245FA7">
      <w:pPr>
        <w:pStyle w:val="Ttulo1"/>
        <w:keepNext w:val="0"/>
        <w:shd w:val="clear" w:color="auto" w:fill="FFFFFF" w:themeFill="background1"/>
        <w:spacing w:before="120"/>
        <w:ind w:right="1140"/>
        <w:jc w:val="center"/>
        <w:rPr>
          <w:rFonts w:asciiTheme="majorHAnsi" w:eastAsia="Arial Narrow" w:hAnsiTheme="majorHAnsi" w:cstheme="majorHAnsi"/>
          <w:b w:val="0"/>
          <w:color w:val="000000"/>
          <w:sz w:val="24"/>
          <w:szCs w:val="24"/>
        </w:rPr>
      </w:pPr>
      <w:bookmarkStart w:id="1" w:name="_gjdgxs" w:colFirst="0" w:colLast="0"/>
      <w:bookmarkEnd w:id="1"/>
      <w:r w:rsidRPr="00245FA7">
        <w:rPr>
          <w:rFonts w:asciiTheme="majorHAnsi" w:eastAsia="Arial Narrow" w:hAnsiTheme="majorHAnsi" w:cstheme="majorHAnsi"/>
          <w:color w:val="000000"/>
          <w:sz w:val="24"/>
          <w:szCs w:val="24"/>
        </w:rPr>
        <w:t xml:space="preserve">EDITAL 03/2023 DE SELEÇÃO PÚBLICA DE ORGANIZAÇÕES DA SOCIEDADE CIVIL SEM FINS LUCRATIVOS PARA ASSINATURA DE TERMO DE COLABORAÇÃO COM O CAU/RJ - “CAU </w:t>
      </w:r>
      <w:proofErr w:type="gramStart"/>
      <w:r w:rsidRPr="00245FA7">
        <w:rPr>
          <w:rFonts w:asciiTheme="majorHAnsi" w:eastAsia="Arial Narrow" w:hAnsiTheme="majorHAnsi" w:cstheme="majorHAnsi"/>
          <w:color w:val="000000"/>
          <w:sz w:val="24"/>
          <w:szCs w:val="24"/>
        </w:rPr>
        <w:t>NA SUA CIDADE RIO DAS OSTRAS</w:t>
      </w:r>
      <w:proofErr w:type="gramEnd"/>
      <w:r w:rsidRPr="00245FA7">
        <w:rPr>
          <w:rFonts w:asciiTheme="majorHAnsi" w:eastAsia="Arial Narrow" w:hAnsiTheme="majorHAnsi" w:cstheme="majorHAnsi"/>
          <w:color w:val="000000"/>
          <w:sz w:val="24"/>
          <w:szCs w:val="24"/>
        </w:rPr>
        <w:t>”.</w:t>
      </w:r>
    </w:p>
    <w:p w14:paraId="00000005" w14:textId="77777777" w:rsidR="00B205E1" w:rsidRPr="00245FA7" w:rsidRDefault="00B205E1" w:rsidP="00245FA7">
      <w:pPr>
        <w:pStyle w:val="Ttulo1"/>
        <w:keepNext w:val="0"/>
        <w:shd w:val="clear" w:color="auto" w:fill="FFFFFF"/>
        <w:spacing w:before="120"/>
        <w:ind w:right="1140"/>
        <w:jc w:val="center"/>
        <w:rPr>
          <w:rFonts w:asciiTheme="majorHAnsi" w:eastAsia="Arial Narrow" w:hAnsiTheme="majorHAnsi" w:cstheme="majorHAnsi"/>
          <w:b w:val="0"/>
          <w:color w:val="000000"/>
          <w:sz w:val="24"/>
          <w:szCs w:val="24"/>
        </w:rPr>
      </w:pPr>
      <w:bookmarkStart w:id="2" w:name="_30j0zll" w:colFirst="0" w:colLast="0"/>
      <w:bookmarkEnd w:id="2"/>
    </w:p>
    <w:p w14:paraId="00000006" w14:textId="35B57403" w:rsidR="00B205E1" w:rsidRPr="00245FA7" w:rsidRDefault="031A6374" w:rsidP="00245FA7">
      <w:pPr>
        <w:shd w:val="clear" w:color="auto" w:fill="FFFFFF" w:themeFill="background1"/>
        <w:ind w:right="1140"/>
        <w:jc w:val="center"/>
        <w:rPr>
          <w:rFonts w:asciiTheme="majorHAnsi" w:eastAsia="Arial Narrow" w:hAnsiTheme="majorHAnsi" w:cstheme="majorHAnsi"/>
          <w:b/>
          <w:bCs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bCs/>
          <w:sz w:val="24"/>
          <w:szCs w:val="24"/>
        </w:rPr>
        <w:t xml:space="preserve">Processo Administrativo nº </w:t>
      </w:r>
      <w:r w:rsidR="007172A7" w:rsidRPr="00245FA7">
        <w:rPr>
          <w:rFonts w:asciiTheme="majorHAnsi" w:hAnsiTheme="majorHAnsi" w:cstheme="majorHAnsi"/>
          <w:sz w:val="24"/>
          <w:szCs w:val="24"/>
        </w:rPr>
        <w:tab/>
      </w:r>
      <w:r w:rsidR="007172A7" w:rsidRPr="00245FA7">
        <w:rPr>
          <w:rFonts w:asciiTheme="majorHAnsi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b/>
          <w:bCs/>
          <w:sz w:val="24"/>
          <w:szCs w:val="24"/>
        </w:rPr>
        <w:t>/202</w:t>
      </w:r>
      <w:r w:rsidR="268CF62E" w:rsidRPr="00245FA7">
        <w:rPr>
          <w:rFonts w:asciiTheme="majorHAnsi" w:eastAsia="Arial Narrow" w:hAnsiTheme="majorHAnsi" w:cstheme="majorHAnsi"/>
          <w:b/>
          <w:bCs/>
          <w:sz w:val="24"/>
          <w:szCs w:val="24"/>
        </w:rPr>
        <w:t>3</w:t>
      </w:r>
    </w:p>
    <w:p w14:paraId="00000007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08" w14:textId="4583DAC3" w:rsidR="00B205E1" w:rsidRPr="00245FA7" w:rsidRDefault="031A6374" w:rsidP="00245FA7">
      <w:pPr>
        <w:shd w:val="clear" w:color="auto" w:fill="FFFFFF" w:themeFill="background1"/>
        <w:spacing w:after="200"/>
        <w:ind w:left="3968"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TERMO DE COLABORAÇÃO QUE ENTRE SI CELEBRAM O CONSELHO DE ARQUITETURA E URBANISMO DO RIO DE JANEIRO - CAU/RJ E A OSC</w:t>
      </w:r>
      <w:r w:rsidR="007172A7" w:rsidRPr="00245FA7">
        <w:rPr>
          <w:rFonts w:asciiTheme="majorHAnsi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>, CONFORME ABAIXO MELHOR SE ESPECIFICA:</w:t>
      </w:r>
    </w:p>
    <w:p w14:paraId="00000009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0A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bookmarkStart w:id="3" w:name="_1fob9te" w:colFirst="0" w:colLast="0"/>
      <w:bookmarkEnd w:id="3"/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O </w:t>
      </w: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>CONSELHO DE ARQUITETURA E URBANISMO DO RIO DE JANEIRO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, criado pela Lei nº 12.378, de 31 de dezembro de 2010, com sede na Av. República do Chile, 230, 23º andar, Centro, Rio de Janeiro, RJ, inscrito no CNPJ sob o nº 14.892.247/0001-74, a seguir denominado simplesmente CAU/RJ, e a</w:t>
      </w:r>
      <w:proofErr w:type="gramStart"/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  </w:t>
      </w:r>
      <w:proofErr w:type="gramEnd"/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, com sede na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, inscrita n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o CNPJ/MF sob nº 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, representada neste ato, por seu Presidente/Diretor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, portador da cédula de identidade RG nº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e inscrito no CPF/MF sob nº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, doravante denominada OSC, com fundamento no que dispõem a Lei federal nº 13.019, de 31 de julho de 2014, o Decret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o federal nº </w:t>
      </w:r>
      <w:r w:rsidRPr="00245FA7">
        <w:rPr>
          <w:rFonts w:asciiTheme="majorHAnsi" w:eastAsia="Arial Narrow" w:hAnsiTheme="majorHAnsi" w:cstheme="majorHAnsi"/>
          <w:sz w:val="24"/>
          <w:szCs w:val="24"/>
          <w:highlight w:val="white"/>
        </w:rPr>
        <w:t>8.726, de 27 de abril de 2016, e suas alterações, resolvem firmar o presente Termo de Colabora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ção, que será regido pelas cláusulas e condições que seguem:</w:t>
      </w:r>
    </w:p>
    <w:p w14:paraId="017149BC" w14:textId="77777777" w:rsidR="00245FA7" w:rsidRDefault="00245F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</w:p>
    <w:p w14:paraId="0000000C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>CLÁUSULA PRIMEIRA - DO OBJETO</w:t>
      </w:r>
    </w:p>
    <w:p w14:paraId="0000000D" w14:textId="3EC1BDCC" w:rsidR="00B205E1" w:rsidRPr="00245FA7" w:rsidRDefault="00E415FF" w:rsidP="00245FA7">
      <w:pPr>
        <w:shd w:val="clear" w:color="auto" w:fill="FFFFFF" w:themeFill="background1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proofErr w:type="gramStart"/>
      <w:r>
        <w:rPr>
          <w:rFonts w:asciiTheme="majorHAnsi" w:eastAsia="Arial Narrow" w:hAnsiTheme="majorHAnsi" w:cstheme="majorHAnsi"/>
          <w:sz w:val="24"/>
          <w:szCs w:val="24"/>
        </w:rPr>
        <w:t>1</w:t>
      </w:r>
      <w:r w:rsidR="002377EC">
        <w:rPr>
          <w:rFonts w:asciiTheme="majorHAnsi" w:eastAsia="Arial Narrow" w:hAnsiTheme="majorHAnsi" w:cstheme="majorHAnsi"/>
          <w:sz w:val="24"/>
          <w:szCs w:val="24"/>
        </w:rPr>
        <w:t xml:space="preserve"> .</w:t>
      </w:r>
      <w:proofErr w:type="gramEnd"/>
      <w:r w:rsidR="002377EC">
        <w:rPr>
          <w:rFonts w:asciiTheme="majorHAnsi" w:eastAsia="Arial Narrow" w:hAnsiTheme="majorHAnsi" w:cstheme="majorHAnsi"/>
          <w:sz w:val="24"/>
          <w:szCs w:val="24"/>
        </w:rPr>
        <w:t>1</w:t>
      </w:r>
      <w:r>
        <w:rPr>
          <w:rFonts w:asciiTheme="majorHAnsi" w:eastAsia="Arial Narrow" w:hAnsiTheme="majorHAnsi" w:cstheme="majorHAnsi"/>
          <w:sz w:val="24"/>
          <w:szCs w:val="24"/>
        </w:rPr>
        <w:t xml:space="preserve">. </w:t>
      </w:r>
      <w:r w:rsidR="031A6374" w:rsidRPr="00245FA7">
        <w:rPr>
          <w:rFonts w:asciiTheme="majorHAnsi" w:eastAsia="Arial Narrow" w:hAnsiTheme="majorHAnsi" w:cstheme="majorHAnsi"/>
          <w:sz w:val="24"/>
          <w:szCs w:val="24"/>
        </w:rPr>
        <w:t>O presente termo de colaboração, decorrente de chamamento público nº 00</w:t>
      </w:r>
      <w:r w:rsidR="46394FAF" w:rsidRPr="00245FA7">
        <w:rPr>
          <w:rFonts w:asciiTheme="majorHAnsi" w:eastAsia="Arial Narrow" w:hAnsiTheme="majorHAnsi" w:cstheme="majorHAnsi"/>
          <w:sz w:val="24"/>
          <w:szCs w:val="24"/>
        </w:rPr>
        <w:t>3</w:t>
      </w:r>
      <w:r w:rsidR="031A6374" w:rsidRPr="00245FA7">
        <w:rPr>
          <w:rFonts w:asciiTheme="majorHAnsi" w:eastAsia="Arial Narrow" w:hAnsiTheme="majorHAnsi" w:cstheme="majorHAnsi"/>
          <w:sz w:val="24"/>
          <w:szCs w:val="24"/>
        </w:rPr>
        <w:t>/202</w:t>
      </w:r>
      <w:r w:rsidR="5886A2E9" w:rsidRPr="00245FA7">
        <w:rPr>
          <w:rFonts w:asciiTheme="majorHAnsi" w:eastAsia="Arial Narrow" w:hAnsiTheme="majorHAnsi" w:cstheme="majorHAnsi"/>
          <w:sz w:val="24"/>
          <w:szCs w:val="24"/>
        </w:rPr>
        <w:t>3</w:t>
      </w:r>
      <w:r w:rsidR="031A6374" w:rsidRPr="00245FA7">
        <w:rPr>
          <w:rFonts w:asciiTheme="majorHAnsi" w:eastAsia="Arial Narrow" w:hAnsiTheme="majorHAnsi" w:cstheme="majorHAnsi"/>
          <w:sz w:val="24"/>
          <w:szCs w:val="24"/>
        </w:rPr>
        <w:t xml:space="preserve"> (Proc. Adm. </w:t>
      </w:r>
      <w:r w:rsidR="258BC248" w:rsidRPr="00245FA7">
        <w:rPr>
          <w:rFonts w:asciiTheme="majorHAnsi" w:eastAsia="Arial Narrow" w:hAnsiTheme="majorHAnsi" w:cstheme="majorHAnsi"/>
          <w:sz w:val="24"/>
          <w:szCs w:val="24"/>
        </w:rPr>
        <w:t>1733110/2023</w:t>
      </w:r>
      <w:r w:rsidR="031A6374" w:rsidRPr="00245FA7">
        <w:rPr>
          <w:rFonts w:asciiTheme="majorHAnsi" w:eastAsia="Arial Narrow" w:hAnsiTheme="majorHAnsi" w:cstheme="majorHAnsi"/>
          <w:sz w:val="24"/>
          <w:szCs w:val="24"/>
        </w:rPr>
        <w:t>), tem por objetivo a transferência de recursos financeiros, do CAU/RJ à OSC, para a execução de (objeto do contrato), consoante o Plano de Trabalho, parte integrante indissociável deste ajuste.</w:t>
      </w:r>
    </w:p>
    <w:p w14:paraId="0000000E" w14:textId="7D1E3E51" w:rsidR="00B205E1" w:rsidRDefault="00E415FF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Parágrafo Único.</w:t>
      </w:r>
      <w:r w:rsidR="031A6374" w:rsidRPr="00245FA7">
        <w:rPr>
          <w:rFonts w:asciiTheme="majorHAnsi" w:eastAsia="Arial Narrow" w:hAnsiTheme="majorHAnsi" w:cstheme="majorHAnsi"/>
          <w:sz w:val="24"/>
          <w:szCs w:val="24"/>
        </w:rPr>
        <w:t xml:space="preserve"> O Plano de Trabalho poderá ser revisto para alteração de valores ou de metas, mediante termo aditivo, respeitada a legislação vigente e após proposta previamente justificada pela OSC e acolhida em parecer técnico favorável do órgão competente ratificado pela autoridade máxima do CAU/RJ, vedada alteração do objeto ou acréscimo de valor.</w:t>
      </w:r>
    </w:p>
    <w:p w14:paraId="722650C4" w14:textId="77777777" w:rsidR="00245FA7" w:rsidRPr="00245FA7" w:rsidRDefault="00245F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10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lastRenderedPageBreak/>
        <w:t>CLÁUSULA SEGUNDA – DA FINALIDADE</w:t>
      </w:r>
    </w:p>
    <w:p w14:paraId="00000011" w14:textId="3A54E46B" w:rsidR="00B205E1" w:rsidRPr="00245FA7" w:rsidRDefault="00E415FF" w:rsidP="00245FA7">
      <w:pPr>
        <w:shd w:val="clear" w:color="auto" w:fill="FFFFFF" w:themeFill="background1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2.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1.</w:t>
      </w:r>
      <w:r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O presente termo de </w:t>
      </w:r>
      <w:r w:rsidR="3B0E49D4" w:rsidRPr="00245FA7">
        <w:rPr>
          <w:rFonts w:asciiTheme="majorHAnsi" w:eastAsia="Arial Narrow" w:hAnsiTheme="majorHAnsi" w:cstheme="majorHAnsi"/>
          <w:sz w:val="24"/>
          <w:szCs w:val="24"/>
        </w:rPr>
        <w:t>colaboração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possui como finalidade a realização do projeto “CAU na sua Cidade, em </w:t>
      </w:r>
      <w:r w:rsidR="00755C38" w:rsidRPr="00245FA7">
        <w:rPr>
          <w:rFonts w:asciiTheme="majorHAnsi" w:eastAsia="Arial Narrow" w:hAnsiTheme="majorHAnsi" w:cstheme="majorHAnsi"/>
          <w:sz w:val="24"/>
          <w:szCs w:val="24"/>
        </w:rPr>
        <w:t>Rio das Ostras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", visando aproximar o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Conselho dos arquitetos e urbanistas e dos estudantes do interior do estado, com diversas atividades e discussão de temas locais, conforme plano de trabalho apresentado pela OSC.</w:t>
      </w:r>
    </w:p>
    <w:p w14:paraId="00000012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</w:p>
    <w:p w14:paraId="00000013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>CLÁUSULA TERCEIRA – DAS RESPONSABILIDADES E OBRIGAÇÕES</w:t>
      </w:r>
    </w:p>
    <w:p w14:paraId="00000014" w14:textId="65CBC17F" w:rsidR="00B205E1" w:rsidRPr="00245FA7" w:rsidRDefault="00E415FF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3.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1.</w:t>
      </w:r>
      <w:r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São responsabilidades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e obrigações, além de outros compromissos assumidos por meio deste termo e respectivo plano de trabalho, os previstos na Lei Federal n.º 13.019, de 31 de julho de 2014, no Decreto nº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  <w:highlight w:val="white"/>
        </w:rPr>
        <w:t>8.726, de 27 de abril de 2016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, e legislação e regulamentação aplicáveis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à espécie:</w:t>
      </w:r>
    </w:p>
    <w:p w14:paraId="00000015" w14:textId="637C9212" w:rsidR="00B205E1" w:rsidRPr="00245FA7" w:rsidRDefault="00E415FF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I.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DO CAU/RJ:</w:t>
      </w:r>
    </w:p>
    <w:p w14:paraId="00000016" w14:textId="5030454E" w:rsidR="00B205E1" w:rsidRPr="00245FA7" w:rsidRDefault="00E415FF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a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) elaborar e conduzir a execução do projeto;</w:t>
      </w:r>
    </w:p>
    <w:p w14:paraId="00000017" w14:textId="66DFA391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b) emanar diretrizes sobre o projeto a ser executado por meio do presente termo, estabelecendo conceitos e critérios de qualidade a serem observados pela OSC;</w:t>
      </w:r>
    </w:p>
    <w:p w14:paraId="00000018" w14:textId="2C92D089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c) acompanhar, supervi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sionar e fiscalizar a execução do objeto deste termo, devendo zelar pelo alcance dos resultados pactuados e pela correta aplicação dos recursos repassados;</w:t>
      </w:r>
    </w:p>
    <w:p w14:paraId="00000019" w14:textId="1756EFF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d) prestar apoio necessário e indispensável </w:t>
      </w:r>
      <w:proofErr w:type="gramStart"/>
      <w:r w:rsidRPr="00245FA7">
        <w:rPr>
          <w:rFonts w:asciiTheme="majorHAnsi" w:eastAsia="Arial Narrow" w:hAnsiTheme="majorHAnsi" w:cstheme="majorHAnsi"/>
          <w:sz w:val="24"/>
          <w:szCs w:val="24"/>
        </w:rPr>
        <w:t>a</w:t>
      </w:r>
      <w:proofErr w:type="gramEnd"/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OSC para que seja alcançado o objeto da parceria em t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oda sua extensão e no tempo devido;</w:t>
      </w:r>
    </w:p>
    <w:p w14:paraId="0000001A" w14:textId="7D40822F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e) repassar a OSC os recursos financeiros previstos para a execução do objeto da parceria, de acordo com o cronograma de desembolsos previsto, que guardará consonância com as metas, fases ou etapas de execução do objeto;</w:t>
      </w:r>
    </w:p>
    <w:p w14:paraId="0000001B" w14:textId="2ECF52C4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f) manter, em seu sítio eletrônic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o, a relação das parcerias celebradas e dos respectivos planos de trabalho, até 180 (cento e oitenta) dias após o respectivo encerramento;</w:t>
      </w:r>
    </w:p>
    <w:p w14:paraId="0000001C" w14:textId="62A6EF42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g) publicar, no Diário Oficial da União, extrato deste termo e de seus aditivos, contendo, pelo menos, o nome do ges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tor da parceria e do signatário representante da OSC;</w:t>
      </w:r>
    </w:p>
    <w:p w14:paraId="0000001D" w14:textId="3935B0D0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h) emitir relatório técnico de monitoramento de avaliação da parceria;</w:t>
      </w:r>
    </w:p>
    <w:p w14:paraId="0000001E" w14:textId="5BCCDC60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i) analisar os relatórios financeiros e de resultados;</w:t>
      </w:r>
    </w:p>
    <w:p w14:paraId="0000001F" w14:textId="5D2F2D48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j) analisar as prestações de contas encaminhadas pela OSC de acordo com a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legislação e regulamentação aplicáveis.</w:t>
      </w:r>
    </w:p>
    <w:p w14:paraId="00000021" w14:textId="63E49161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II</w:t>
      </w:r>
      <w:r w:rsidR="00E415FF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DA OSC:</w:t>
      </w:r>
    </w:p>
    <w:p w14:paraId="00000022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lastRenderedPageBreak/>
        <w:t>a) apresentar relatório de execução do objeto, elaborado eletronicamente por meio de formulário próprio constante do sítio eletrônico do CAU/RJ e contendo:</w:t>
      </w:r>
    </w:p>
    <w:p w14:paraId="00000023" w14:textId="3C3C49BC" w:rsidR="00B205E1" w:rsidRPr="00245FA7" w:rsidRDefault="00E415FF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proofErr w:type="gramStart"/>
      <w:r>
        <w:rPr>
          <w:rFonts w:asciiTheme="majorHAnsi" w:eastAsia="Arial Narrow" w:hAnsiTheme="majorHAnsi" w:cstheme="majorHAnsi"/>
          <w:sz w:val="24"/>
          <w:szCs w:val="24"/>
        </w:rPr>
        <w:t>a.</w:t>
      </w:r>
      <w:proofErr w:type="gramEnd"/>
      <w:r>
        <w:rPr>
          <w:rFonts w:asciiTheme="majorHAnsi" w:eastAsia="Arial Narrow" w:hAnsiTheme="majorHAnsi" w:cstheme="majorHAnsi"/>
          <w:sz w:val="24"/>
          <w:szCs w:val="24"/>
        </w:rPr>
        <w:t>1)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Relatório de Execução do Projeto (em format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o A4) circunstanciado da realização do projeto, com narrativa das ações realizadas, juntamente com registros, caso seja aplicável;</w:t>
      </w:r>
    </w:p>
    <w:p w14:paraId="00000024" w14:textId="3B3C74C3" w:rsidR="00B205E1" w:rsidRPr="00245FA7" w:rsidRDefault="00E415FF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proofErr w:type="gramStart"/>
      <w:r>
        <w:rPr>
          <w:rFonts w:asciiTheme="majorHAnsi" w:eastAsia="Arial Narrow" w:hAnsiTheme="majorHAnsi" w:cstheme="majorHAnsi"/>
          <w:sz w:val="24"/>
          <w:szCs w:val="24"/>
        </w:rPr>
        <w:t>a.</w:t>
      </w:r>
      <w:proofErr w:type="gramEnd"/>
      <w:r>
        <w:rPr>
          <w:rFonts w:asciiTheme="majorHAnsi" w:eastAsia="Arial Narrow" w:hAnsiTheme="majorHAnsi" w:cstheme="majorHAnsi"/>
          <w:sz w:val="24"/>
          <w:szCs w:val="24"/>
        </w:rPr>
        <w:t>2)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comprovantes de regularidade fisca</w:t>
      </w:r>
      <w:r>
        <w:rPr>
          <w:rFonts w:asciiTheme="majorHAnsi" w:eastAsia="Arial Narrow" w:hAnsiTheme="majorHAnsi" w:cstheme="majorHAnsi"/>
          <w:sz w:val="24"/>
          <w:szCs w:val="24"/>
        </w:rPr>
        <w:t>l, trabalhista e previdenciária.</w:t>
      </w:r>
    </w:p>
    <w:p w14:paraId="00000025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b) na hipótese de descumprimento de metas e resultados 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estabelecidos no plano de trabalho, apresentar relatório de execução financeira, que deve conter demonstrativo integral da receita e da despesa realizadas na execução, em regime de caixa e em regime de competência.</w:t>
      </w:r>
    </w:p>
    <w:p w14:paraId="00000026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c) prestar contas, eletronicamente, da to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talidade das operações patrimoniais e resultados da parceria, de acordo com a legislação e regulamentação aplicáveis;</w:t>
      </w:r>
    </w:p>
    <w:p w14:paraId="00000027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d) executar o plano de trabalho - isoladamente ou por meio de atuação em rede, se observado o artigo 35-A, da Lei federal nº 13.019, de 31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de julho de 2014, bem como aplicar os recursos públicos e gerir os bens públicos com observância aos princípios da legalidade, da legitimidade, da impessoalidade, da moralidade da publicidade, da economicidade, da eficiência e da eficácia;</w:t>
      </w:r>
    </w:p>
    <w:p w14:paraId="00000028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e) zelar pela b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oa qualidade das ações e serviços prestados, buscando alcançar os resultados pactuados de forma </w:t>
      </w:r>
      <w:proofErr w:type="gramStart"/>
      <w:r w:rsidRPr="00245FA7">
        <w:rPr>
          <w:rFonts w:asciiTheme="majorHAnsi" w:eastAsia="Arial Narrow" w:hAnsiTheme="majorHAnsi" w:cstheme="majorHAnsi"/>
          <w:sz w:val="24"/>
          <w:szCs w:val="24"/>
        </w:rPr>
        <w:t>otimizada</w:t>
      </w:r>
      <w:proofErr w:type="gramEnd"/>
      <w:r w:rsidRPr="00245FA7">
        <w:rPr>
          <w:rFonts w:asciiTheme="majorHAnsi" w:eastAsia="Arial Narrow" w:hAnsiTheme="majorHAnsi" w:cstheme="majorHAnsi"/>
          <w:sz w:val="24"/>
          <w:szCs w:val="24"/>
        </w:rPr>
        <w:t>;</w:t>
      </w:r>
    </w:p>
    <w:p w14:paraId="00000029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f) observar, no transcorrer da execução de suas atividades, todas as orientações emanadas do CAU/RJ;</w:t>
      </w:r>
    </w:p>
    <w:p w14:paraId="0000002A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g) responsabilizar-se, integral e exclusivamente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, pela contratação de pessoal e pagamento dos encargos trabalhistas, previdenciários, fiscais e comerciais relacionados à execução do objeto, não implicando responsabilidade solidária ou subsidiária do CAU/RJ a inadimplência da OSC em relação ao referido p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agamento, os ônus incidentes sobre o objeto da parceria ou os danos decorrentes de restrição à sua execução;</w:t>
      </w:r>
    </w:p>
    <w:p w14:paraId="0000002B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h) divulgar, no seu sítio eletrônico e em locais visíveis de suas sedes sociais e dos estabelecimentos em que exerça suas ações, na forma e prazos 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definidos pelo CAU/RJ, todas as parcerias celebradas com esse último, observando-se as informações mínimas exigidas e eventuais restrições de segurança que impeçam a sua divulgação, na forma da lei;</w:t>
      </w:r>
    </w:p>
    <w:p w14:paraId="0000002C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i) manter e movimentar os recursos financeiros repassados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para a execução do objeto da parceria em uma única e exclusiva conta bancária, aberta junto à instituição financeira pública, observado o disposto no artigo 51 da Lei federal nº 13.019, de 31 de julho de 2014;</w:t>
      </w:r>
    </w:p>
    <w:p w14:paraId="0000002D" w14:textId="19582A8B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lastRenderedPageBreak/>
        <w:t>j) manter registros, arquivos e controles co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ntábeis específicos para os dispêndios relativos ao objeto da parceria;</w:t>
      </w:r>
    </w:p>
    <w:p w14:paraId="0000002E" w14:textId="6664D7D5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k) assegurar que toda divulgação das ações objeto da parceria seja realizada com o consentimento prévio e formal do CAU/RJ, bem como conforme as orientações e diretrizes acerca da identidade visual do Conselho;</w:t>
      </w:r>
    </w:p>
    <w:p w14:paraId="0000002F" w14:textId="45B8EF34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l) utilizar os bens, materiais e serviços c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usteados com recursos públicos vinculados à parceria em conformidade com o objeto pactuado;</w:t>
      </w:r>
    </w:p>
    <w:p w14:paraId="00000030" w14:textId="62BD7C26" w:rsidR="00B205E1" w:rsidRPr="00245FA7" w:rsidRDefault="007172A7" w:rsidP="00245FA7">
      <w:pPr>
        <w:shd w:val="clear" w:color="auto" w:fill="FFFFFF" w:themeFill="background1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m) permitir e facilitar o acesso de agentes do CAU/RJ, membros das comissões do CAU/RJ e demais órgãos de fiscalização interna e externa a todos os documentos rela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tivos à execução do objeto da parceria, prestando-lhes todas e quaisquer informações solicitadas, bem como aos locais de execução do objeto;</w:t>
      </w:r>
    </w:p>
    <w:p w14:paraId="00000031" w14:textId="1A50AAFA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n) responsabilizar-se pela legalidade e regularidade das despesas realizadas para a execução do objeto da parceria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, pelo que responderá diretamente perante o CAU/RJ e demais órgãos incumbidos da fiscalização nos casos de descumprimento;</w:t>
      </w:r>
    </w:p>
    <w:p w14:paraId="00000032" w14:textId="23BC0540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o) responsabilizar-se, exclusivamente, pelo gerenciamento administrativo e financeiro dos recursos recebidos, inclusive no que diz r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espeito às despesas de custeio, de investimento e de pessoal;</w:t>
      </w:r>
    </w:p>
    <w:p w14:paraId="00000033" w14:textId="7F222636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p) adotar as providências cabíveis, em consonância à Lei Federal 12.527/2011, no que tange à transparência e direito de acesso à informação.</w:t>
      </w:r>
    </w:p>
    <w:p w14:paraId="00000034" w14:textId="5790B25C" w:rsidR="00B205E1" w:rsidRPr="00245FA7" w:rsidRDefault="00E415FF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Parágrafo Primeiro.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A OSC tratará confidencialmente todos os documentos, dados e informações que lhe forem fornecidos em virtude do objeto deste termo de colaboração. Qualquer divulgação e/ou reprodução, parcial ou integral, de qualquer informação privileg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iada para fim diverso do estipulado neste termo de colaboração, somente poderá ser efetuada mediante prévia autorização, por escrito, do CAU/RJ. A obrigação de sigilo ora estabelecida, sobreviverá ao término do presente instrumento.</w:t>
      </w:r>
    </w:p>
    <w:p w14:paraId="00000035" w14:textId="4D432F3F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Parágrafo Segundo</w:t>
      </w:r>
      <w:r w:rsidR="00E415FF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Todo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s os materiais de divulgação deverão ser previamente aprovados pelo CAU/RJ, sendo expressamente vedada a modificação/alteração da marca e/ou do logotipo, bem como a utilização dos mesmos para outra finalidade que não a aqui estabelecida.</w:t>
      </w:r>
    </w:p>
    <w:p w14:paraId="00000036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37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>CLÁUSULA QUARTA -</w:t>
      </w: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 xml:space="preserve"> DOS RECURSOS FINANCEIROS</w:t>
      </w:r>
    </w:p>
    <w:p w14:paraId="00000038" w14:textId="54CB232A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  <w:highlight w:val="white"/>
        </w:rPr>
      </w:pPr>
      <w:r>
        <w:rPr>
          <w:rFonts w:asciiTheme="majorHAnsi" w:eastAsia="Arial Narrow" w:hAnsiTheme="majorHAnsi" w:cstheme="majorHAnsi"/>
          <w:sz w:val="24"/>
          <w:szCs w:val="24"/>
          <w:highlight w:val="white"/>
        </w:rPr>
        <w:t xml:space="preserve">4.1.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  <w:highlight w:val="white"/>
        </w:rPr>
        <w:t>O valor total da presente parceria é de R$</w:t>
      </w:r>
      <w:r w:rsidR="007172A7" w:rsidRPr="00245FA7">
        <w:rPr>
          <w:rFonts w:asciiTheme="majorHAnsi" w:eastAsia="Arial Narrow" w:hAnsiTheme="majorHAnsi" w:cstheme="majorHAnsi"/>
          <w:sz w:val="24"/>
          <w:szCs w:val="24"/>
          <w:highlight w:val="white"/>
        </w:rPr>
        <w:tab/>
      </w:r>
      <w:r>
        <w:rPr>
          <w:rFonts w:asciiTheme="majorHAnsi" w:eastAsia="Arial Narrow" w:hAnsiTheme="majorHAnsi" w:cstheme="majorHAnsi"/>
          <w:sz w:val="24"/>
          <w:szCs w:val="24"/>
          <w:highlight w:val="white"/>
        </w:rPr>
        <w:t xml:space="preserve">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  <w:highlight w:val="white"/>
        </w:rPr>
        <w:t>(</w:t>
      </w:r>
      <w:r w:rsidR="007172A7" w:rsidRPr="00245FA7">
        <w:rPr>
          <w:rFonts w:asciiTheme="majorHAnsi" w:eastAsia="Arial Narrow" w:hAnsiTheme="majorHAnsi" w:cstheme="majorHAnsi"/>
          <w:sz w:val="24"/>
          <w:szCs w:val="24"/>
          <w:highlight w:val="white"/>
        </w:rPr>
        <w:tab/>
        <w:t>), oriundo da dotação orçamentária discriminada abaixo:</w:t>
      </w:r>
    </w:p>
    <w:p w14:paraId="00000039" w14:textId="206B0BB3" w:rsidR="00B205E1" w:rsidRPr="00245FA7" w:rsidRDefault="00245FA7" w:rsidP="00245FA7">
      <w:pPr>
        <w:spacing w:after="200"/>
        <w:ind w:right="561"/>
        <w:jc w:val="center"/>
        <w:rPr>
          <w:rFonts w:asciiTheme="majorHAnsi" w:eastAsia="Arial Narrow" w:hAnsiTheme="majorHAnsi" w:cstheme="majorHAnsi"/>
          <w:sz w:val="24"/>
          <w:szCs w:val="24"/>
          <w:highlight w:val="yellow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Nº </w:t>
      </w:r>
      <w:r w:rsidRPr="00245FA7">
        <w:rPr>
          <w:rFonts w:asciiTheme="majorHAnsi" w:hAnsiTheme="majorHAnsi" w:cstheme="majorHAnsi"/>
          <w:sz w:val="24"/>
          <w:szCs w:val="24"/>
        </w:rPr>
        <w:t>6.2.2.1.1.01.07.02.003</w:t>
      </w:r>
    </w:p>
    <w:p w14:paraId="0000003A" w14:textId="63282A2C" w:rsidR="00B205E1" w:rsidRPr="00245FA7" w:rsidRDefault="007172A7" w:rsidP="00245FA7">
      <w:pPr>
        <w:spacing w:after="200"/>
        <w:ind w:right="561"/>
        <w:jc w:val="center"/>
        <w:rPr>
          <w:rFonts w:asciiTheme="majorHAnsi" w:eastAsia="Arial Narrow" w:hAnsiTheme="majorHAnsi" w:cstheme="majorHAnsi"/>
          <w:sz w:val="24"/>
          <w:szCs w:val="24"/>
          <w:highlight w:val="white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Natureza da Despesa: </w:t>
      </w:r>
      <w:r w:rsidR="00245FA7" w:rsidRPr="00245FA7">
        <w:rPr>
          <w:rFonts w:asciiTheme="majorHAnsi" w:hAnsiTheme="majorHAnsi" w:cstheme="majorHAnsi"/>
          <w:sz w:val="24"/>
          <w:szCs w:val="24"/>
        </w:rPr>
        <w:t>Convênio Institucional</w:t>
      </w:r>
    </w:p>
    <w:p w14:paraId="0000003B" w14:textId="449B9026" w:rsidR="00B205E1" w:rsidRPr="00245FA7" w:rsidRDefault="002377EC" w:rsidP="00245FA7">
      <w:pPr>
        <w:shd w:val="clear" w:color="auto" w:fill="FFFFFF" w:themeFill="background1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lastRenderedPageBreak/>
        <w:t>§ 1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>
        <w:rPr>
          <w:rFonts w:asciiTheme="majorHAnsi" w:eastAsia="Arial Narrow" w:hAnsiTheme="majorHAnsi" w:cstheme="majorHAnsi"/>
          <w:sz w:val="24"/>
          <w:szCs w:val="24"/>
        </w:rPr>
        <w:t>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Os recursos financeiros, de q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ue trata o caput desta cláusula, serão transferidos à OSC n</w:t>
      </w:r>
      <w:r w:rsidR="6F3CF81B" w:rsidRPr="00245FA7">
        <w:rPr>
          <w:rFonts w:asciiTheme="majorHAnsi" w:eastAsia="Arial Narrow" w:hAnsiTheme="majorHAnsi" w:cstheme="majorHAnsi"/>
          <w:sz w:val="24"/>
          <w:szCs w:val="24"/>
        </w:rPr>
        <w:t>o prazo de até 5 (cinco) dias</w:t>
      </w:r>
      <w:r w:rsidR="00245FA7">
        <w:rPr>
          <w:rFonts w:asciiTheme="majorHAnsi" w:eastAsia="Arial Narrow" w:hAnsiTheme="majorHAnsi" w:cstheme="majorHAnsi"/>
          <w:sz w:val="24"/>
          <w:szCs w:val="24"/>
        </w:rPr>
        <w:t xml:space="preserve"> úteis</w:t>
      </w:r>
      <w:r w:rsidR="6F3CF81B" w:rsidRPr="00245FA7">
        <w:rPr>
          <w:rFonts w:asciiTheme="majorHAnsi" w:eastAsia="Arial Narrow" w:hAnsiTheme="majorHAnsi" w:cstheme="majorHAnsi"/>
          <w:sz w:val="24"/>
          <w:szCs w:val="24"/>
        </w:rPr>
        <w:t xml:space="preserve"> da assinatura do presente termo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.</w:t>
      </w:r>
    </w:p>
    <w:p w14:paraId="0000003C" w14:textId="3391CF0E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§ 2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>
        <w:rPr>
          <w:rFonts w:asciiTheme="majorHAnsi" w:eastAsia="Arial Narrow" w:hAnsiTheme="majorHAnsi" w:cstheme="majorHAnsi"/>
          <w:sz w:val="24"/>
          <w:szCs w:val="24"/>
        </w:rPr>
        <w:t>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É vedada a realização de despesas, à conta dos recursos destinados à parceria, para finalidades diversas ao objeto pactuado, mesmo que em caráter de urgência.</w:t>
      </w:r>
    </w:p>
    <w:p w14:paraId="0000003D" w14:textId="59D37267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§ 3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>
        <w:rPr>
          <w:rFonts w:asciiTheme="majorHAnsi" w:eastAsia="Arial Narrow" w:hAnsiTheme="majorHAnsi" w:cstheme="majorHAnsi"/>
          <w:sz w:val="24"/>
          <w:szCs w:val="24"/>
        </w:rPr>
        <w:t>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Os recursos repassados pelo Conselho deverão ser movimentados em conta corrente esp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ecífica isenta de tarifa bancária em instituição financeira pública a ser indicada pelo CAU/RJ.</w:t>
      </w:r>
    </w:p>
    <w:p w14:paraId="0000003E" w14:textId="1FD8B342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§ 4º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A OSC deverá aplicar financeiramente os recursos em disponibilidade junto </w:t>
      </w:r>
      <w:proofErr w:type="gramStart"/>
      <w:r w:rsidRPr="00245FA7">
        <w:rPr>
          <w:rFonts w:asciiTheme="majorHAnsi" w:eastAsia="Arial Narrow" w:hAnsiTheme="majorHAnsi" w:cstheme="majorHAnsi"/>
          <w:sz w:val="24"/>
          <w:szCs w:val="24"/>
        </w:rPr>
        <w:t>a</w:t>
      </w:r>
      <w:proofErr w:type="gramEnd"/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instituição financeira pública de forma a preservá-los da desvalorização monetá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ria.</w:t>
      </w:r>
    </w:p>
    <w:p w14:paraId="0000003F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40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>CLÁUSULA QUINTA - DA CESSÃO E DA ADMINISTRAÇÃO DOS BENS PÚBLICOS</w:t>
      </w:r>
    </w:p>
    <w:p w14:paraId="00000041" w14:textId="1010F008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5.1.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Durante o período de vigência desta parceria, poderão ser destinados a OSC bens públicos necessários ao seu cumprimento, os quais poderão ser disponibilizados por meio de disposição con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stante do plano de trabalho, de permissão de uso ou de instrumento equivalente em que se transfira a responsabilidade pelo seu uso e guarda, na forma da lei.</w:t>
      </w:r>
    </w:p>
    <w:p w14:paraId="00000042" w14:textId="12EC29B2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§ 1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>
        <w:rPr>
          <w:rFonts w:asciiTheme="majorHAnsi" w:eastAsia="Arial Narrow" w:hAnsiTheme="majorHAnsi" w:cstheme="majorHAnsi"/>
          <w:sz w:val="24"/>
          <w:szCs w:val="24"/>
        </w:rPr>
        <w:t>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Os bens adquiridos pela OSC com recursos da parceria não compõem o patrimônio desta e deve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rão ser utilizados em estrita conformidade com o objeto pactuado.</w:t>
      </w:r>
    </w:p>
    <w:p w14:paraId="00000043" w14:textId="13CA81E5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§ 2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>
        <w:rPr>
          <w:rFonts w:asciiTheme="majorHAnsi" w:eastAsia="Arial Narrow" w:hAnsiTheme="majorHAnsi" w:cstheme="majorHAnsi"/>
          <w:sz w:val="24"/>
          <w:szCs w:val="24"/>
        </w:rPr>
        <w:t>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Extinto o ajuste por realização integral de seu objeto, os bens adquiridos com recursos da parceria poderão ser doados a própria OSC, de acordo com o interesse público, mediante just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ificativa formal do Conselho de Arquitetura e Urbanismo do Rio de Janeiro, atendidas as normas legais e regulamentares aplicáveis à espécie.</w:t>
      </w:r>
    </w:p>
    <w:p w14:paraId="00000044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45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>CLÁUSULA SEXTA - DA PRESTAÇÃO DE CONTAS</w:t>
      </w:r>
    </w:p>
    <w:p w14:paraId="00000046" w14:textId="74D51A5A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6.1.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A OSC elaborará e apresentará ao CAU/RJ prestação de contas na forma discr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iminada nesta cláusula, observando</w:t>
      </w:r>
      <w:r w:rsidR="007172A7" w:rsidRPr="00245FA7">
        <w:rPr>
          <w:rFonts w:asciiTheme="majorHAnsi" w:eastAsia="Arial Narrow" w:hAnsiTheme="majorHAnsi" w:cstheme="majorHAnsi"/>
          <w:sz w:val="24"/>
          <w:szCs w:val="24"/>
          <w:highlight w:val="white"/>
        </w:rPr>
        <w:t>-se o Capítulo IV, da Lei Federal n.º 13.019, de 31 de julho de 2014, o artigo 54 e seguintes, do Decreto Federal n.º 8.726 de 27 de abril de 2016, e demais legislação e regulamentação apl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icáveis.</w:t>
      </w:r>
    </w:p>
    <w:p w14:paraId="00000047" w14:textId="1C25CFFA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§ 1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>
        <w:rPr>
          <w:rFonts w:asciiTheme="majorHAnsi" w:eastAsia="Arial Narrow" w:hAnsiTheme="majorHAnsi" w:cstheme="majorHAnsi"/>
          <w:sz w:val="24"/>
          <w:szCs w:val="24"/>
        </w:rPr>
        <w:t>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Os originais das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faturas, recibos, notas fiscais e quaisquer outros documentos comprobatórios de despesas deverão ser emitidos em nome da OSC, devidamente identificados com o número do processo, e mantidos em sua sede, em arquivo e em boa ordem, à disposição dos órgãos de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controle interno e externo, pelo prazo de 05 (cinco) anos, contados a partir da aprovação da prestação de contas ou da tomada de contas especial pelo Tribunal de Contas da União, relativa ao exercício da gestão, separando-se os de origem pública daqueles d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a própria OSC.</w:t>
      </w:r>
    </w:p>
    <w:p w14:paraId="00000048" w14:textId="5F52DBA5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lastRenderedPageBreak/>
        <w:t>§ 2º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Sem prejuízo da plena observância dos normativos apontados no caput desta cláusula, bem como das instruções oriundas do Conselho de Arquitetura e Urbanismo do Rio de Janeiro, a OSC prestará contas ao término da parceria, devendo conter a documentaçã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o comprobatória da aplicação dos recursos recebidos, conforme previsão no plano de trabalho, devidamente acompanhado dos relatórios de execução do objeto e de execução financeira; extratos bancários conciliados, evidenciando a movimentação do recurso e ren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tabilidade do período; relatório de receita e de despesas e relação nominal dos atendidos:</w:t>
      </w:r>
    </w:p>
    <w:p w14:paraId="00000049" w14:textId="6201B836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§ 3º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Apresentada a prestação de contas final, emitir-se-á parecer:</w:t>
      </w:r>
    </w:p>
    <w:p w14:paraId="0000004A" w14:textId="7704C92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proofErr w:type="gramStart"/>
      <w:r w:rsidRPr="00245FA7">
        <w:rPr>
          <w:rFonts w:asciiTheme="majorHAnsi" w:eastAsia="Arial Narrow" w:hAnsiTheme="majorHAnsi" w:cstheme="majorHAnsi"/>
          <w:sz w:val="24"/>
          <w:szCs w:val="24"/>
        </w:rPr>
        <w:t>a</w:t>
      </w:r>
      <w:proofErr w:type="gramEnd"/>
      <w:r w:rsidRPr="00245FA7">
        <w:rPr>
          <w:rFonts w:asciiTheme="majorHAnsi" w:eastAsia="Arial Narrow" w:hAnsiTheme="majorHAnsi" w:cstheme="majorHAnsi"/>
          <w:sz w:val="24"/>
          <w:szCs w:val="24"/>
        </w:rPr>
        <w:t>)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técnico, acerca da execução física e atingimento dos objetivos da parceria.</w:t>
      </w:r>
    </w:p>
    <w:p w14:paraId="0000004B" w14:textId="0DA5DFB2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proofErr w:type="gramStart"/>
      <w:r w:rsidRPr="00245FA7">
        <w:rPr>
          <w:rFonts w:asciiTheme="majorHAnsi" w:eastAsia="Arial Narrow" w:hAnsiTheme="majorHAnsi" w:cstheme="majorHAnsi"/>
          <w:sz w:val="24"/>
          <w:szCs w:val="24"/>
        </w:rPr>
        <w:t>b)</w:t>
      </w:r>
      <w:proofErr w:type="gramEnd"/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 xml:space="preserve">financeiro, 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acerca da correta e regular aplicação dos recursos da parceria.</w:t>
      </w:r>
    </w:p>
    <w:p w14:paraId="0000004C" w14:textId="5B745085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§ 4º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Para fins de comprovação dos gastos, não serão aceitas despesas efetuadas em data anterior ou posterior ao período de vigência da parceria.</w:t>
      </w:r>
    </w:p>
    <w:p w14:paraId="0000004D" w14:textId="738DA11F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§ 5º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Não poderão ser pagas com recursos da 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parceria, despesas em desacordo com o plano de trabalho, bem como aquelas decorrentes de multas, juros, taxas ou mora, referentes a pagamentos ou recolhimentos fora do prazo e a título de taxa de administração.</w:t>
      </w:r>
    </w:p>
    <w:p w14:paraId="0000004E" w14:textId="0D3B4245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§ 6º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A falta de prestação de contas nas con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dições estabelecidas nesta cláusula e na legislação aplicável, ou a sua desaprovação pelos órgãos competentes do CAU/RJ, implicará a suspensão das liberações subsequentes, até a correção das impropriedades ocorridas.</w:t>
      </w:r>
    </w:p>
    <w:p w14:paraId="0000004F" w14:textId="103D0775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§ 7º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A responsabilidade da OSC pelo p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agamento dos encargos trabalhistas, previdenciários, fiscais e comerciais relativos ao funcionamento da instituição e à execução do objeto da parceria é exclusiva, não se caracterizando responsabilidade solidária ou subsidiária do CAU/RJ pelos respectivos 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pagamentos, qualquer oneração do objeto da parceria ou restrição à sua execução.</w:t>
      </w:r>
    </w:p>
    <w:p w14:paraId="00000050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51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>CLÁUSULA SÉTIMA - DA VIGÊNCIA</w:t>
      </w:r>
    </w:p>
    <w:p w14:paraId="00000052" w14:textId="1053C376" w:rsidR="00B205E1" w:rsidRPr="00245FA7" w:rsidRDefault="002377EC" w:rsidP="00245FA7">
      <w:pPr>
        <w:shd w:val="clear" w:color="auto" w:fill="FFFFFF" w:themeFill="background1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7.1.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O presente termo de colaboração vigorará por prazo determinado, com vigência desde a data da sua assinatura até o dia </w:t>
      </w:r>
      <w:r w:rsidR="2F0CEF30" w:rsidRPr="00245FA7">
        <w:rPr>
          <w:rFonts w:asciiTheme="majorHAnsi" w:eastAsia="Arial Narrow" w:hAnsiTheme="majorHAnsi" w:cstheme="majorHAnsi"/>
          <w:sz w:val="24"/>
          <w:szCs w:val="24"/>
        </w:rPr>
        <w:t>___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de </w:t>
      </w:r>
      <w:r w:rsidR="4A9459EC" w:rsidRPr="00245FA7">
        <w:rPr>
          <w:rFonts w:asciiTheme="majorHAnsi" w:eastAsia="Arial Narrow" w:hAnsiTheme="majorHAnsi" w:cstheme="majorHAnsi"/>
          <w:sz w:val="24"/>
          <w:szCs w:val="24"/>
        </w:rPr>
        <w:t>_____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proofErr w:type="spellStart"/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de</w:t>
      </w:r>
      <w:proofErr w:type="spellEnd"/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202</w:t>
      </w:r>
      <w:r w:rsidR="57D53F57" w:rsidRPr="00245FA7">
        <w:rPr>
          <w:rFonts w:asciiTheme="majorHAnsi" w:eastAsia="Arial Narrow" w:hAnsiTheme="majorHAnsi" w:cstheme="majorHAnsi"/>
          <w:sz w:val="24"/>
          <w:szCs w:val="24"/>
        </w:rPr>
        <w:t>3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.</w:t>
      </w:r>
    </w:p>
    <w:p w14:paraId="00000053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Parágrafo Único. O prazo de vigência não limita as responsabilidades </w:t>
      </w:r>
      <w:proofErr w:type="spellStart"/>
      <w:r w:rsidRPr="00245FA7">
        <w:rPr>
          <w:rFonts w:asciiTheme="majorHAnsi" w:eastAsia="Arial Narrow" w:hAnsiTheme="majorHAnsi" w:cstheme="majorHAnsi"/>
          <w:sz w:val="24"/>
          <w:szCs w:val="24"/>
        </w:rPr>
        <w:t>pré</w:t>
      </w:r>
      <w:proofErr w:type="spellEnd"/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e pós- contratuais das partes, nos termos da legislação civil.</w:t>
      </w:r>
    </w:p>
    <w:p w14:paraId="00000054" w14:textId="77777777" w:rsidR="00B205E1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42F55422" w14:textId="77777777" w:rsidR="00245FA7" w:rsidRPr="00245FA7" w:rsidRDefault="00245F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55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lastRenderedPageBreak/>
        <w:t>CLÁUSULA OITAVA - DA DENÚNCIA E DA RESCISÃO</w:t>
      </w:r>
    </w:p>
    <w:p w14:paraId="00000056" w14:textId="787E42EE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8.1.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A presente parceria poderá, a qualquer tempo, ser denunciada por qualquer d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os partícipes mediante notificação escrita com antecedência de 30 (trinta) dias e será rescindido por infração legal ou descumprimento das obrigações assumidas, ou pela superveniência de norma legal ou fato que o torne jurídica, material ou formalmente ine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xequível.</w:t>
      </w:r>
    </w:p>
    <w:p w14:paraId="00000057" w14:textId="0C6C0A8F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§ 1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Ocorrendo a rescisão ou a denúncia do presente ajuste, CAU/RJ e a OSC responderão pelas obrigações assumidas até a data de assinatura do respectivo termo de encerramento, devendo a OSC apresentar ao CAU/RJ, no prazo de até 30 (trinta) dia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s, a documentação comprobatória do cumprimento das obrigações assumidas até aquela data.</w:t>
      </w:r>
    </w:p>
    <w:p w14:paraId="00000058" w14:textId="0A9A36D9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§ 2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>
        <w:rPr>
          <w:rFonts w:asciiTheme="majorHAnsi" w:eastAsia="Arial Narrow" w:hAnsiTheme="majorHAnsi" w:cstheme="majorHAnsi"/>
          <w:sz w:val="24"/>
          <w:szCs w:val="24"/>
        </w:rPr>
        <w:t>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Havendo indícios fundados de malversação do recurso público, o CAU/RJ deverá instaurar Tomada de Contas Especial, para apurar irregularidades que tenham motiva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do a rescisão da parceria.</w:t>
      </w:r>
    </w:p>
    <w:p w14:paraId="00000059" w14:textId="1E5F51F9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§ 3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 w:rsidR="002377EC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Quando da conclusão, denúncia, rescisão ou extinção do presente ajuste, não tendo ocorrido </w:t>
      </w:r>
      <w:proofErr w:type="gramStart"/>
      <w:r w:rsidRPr="00245FA7">
        <w:rPr>
          <w:rFonts w:asciiTheme="majorHAnsi" w:eastAsia="Arial Narrow" w:hAnsiTheme="majorHAnsi" w:cstheme="majorHAnsi"/>
          <w:sz w:val="24"/>
          <w:szCs w:val="24"/>
        </w:rPr>
        <w:t>a</w:t>
      </w:r>
      <w:proofErr w:type="gramEnd"/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utilização total dos recursos financeiros recebidos do CAU/RJ, fica a OSC obrigada a restituir, no prazo improrrogável de 30 (tr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inta) dias contados da data do evento, os saldos financeiros remanescentes, inclusive os provenientes das receitas obtidas das aplicações financeiras, acrescidos de correção monetária e de juros de mora, calculados nos termos do 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Decreto n. 8.726, de 27 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de abril de 2016, devendo encaminhar o respectivo comprovante de depósito bancário ao Conselho de Arquitetura e Urbanismo do Rio de Janeiro.</w:t>
      </w:r>
    </w:p>
    <w:p w14:paraId="0000005A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5B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>CLÁUSULA NONA - DAS ALTERAÇÕES</w:t>
      </w:r>
    </w:p>
    <w:p w14:paraId="0000005C" w14:textId="49D878BA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9.1.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Este termo poderá ser alterado, mediante termo aditivo, em qualquer de suas cláusul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as e condições, exceto no que tange ao seu objeto, de comum acordo, desde que tal interesse seja manifestado por qualquer dos partícipes, previamente e por escrito, observado o disposto no parágrafo único da Cláusula Primeira.</w:t>
      </w:r>
    </w:p>
    <w:p w14:paraId="0000005D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5E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>CLÁUSULA DÉCIMA – DAS RESPON</w:t>
      </w: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>SABILIZAÇÕES E DAS SANÇÕES</w:t>
      </w:r>
    </w:p>
    <w:p w14:paraId="0000005F" w14:textId="109C450D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  <w:highlight w:val="white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10.1.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Pela execução da parceria em desacordo com o plano de trabalho e com as normas da Lei federal nº 13.019, de 31 de julho de 2014, e da legislação específica, o CAU/RJ poderá, garantida a prévia defesa, aplicar à OSC as sanções pre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vistas no artigo 73 da L</w:t>
      </w:r>
      <w:r w:rsidR="007172A7" w:rsidRPr="00245FA7">
        <w:rPr>
          <w:rFonts w:asciiTheme="majorHAnsi" w:eastAsia="Arial Narrow" w:hAnsiTheme="majorHAnsi" w:cstheme="majorHAnsi"/>
          <w:sz w:val="24"/>
          <w:szCs w:val="24"/>
          <w:highlight w:val="white"/>
        </w:rPr>
        <w:t>ei federal nº 13.019, de 31 de julho de 2014, observado o disposto no artigo 71 e seguintes do Decreto federal nº 8.726, de 27 de abril de 2016.</w:t>
      </w:r>
    </w:p>
    <w:p w14:paraId="00000060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61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lastRenderedPageBreak/>
        <w:t>CLÁUSULA DÉCIMA PRIMEIRA – DAS PRÁTICAS ANTICORRUPÇÃO</w:t>
      </w:r>
    </w:p>
    <w:p w14:paraId="00000062" w14:textId="5611B027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11.1.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As Partes declaram conhecer as normas de prevenção à corrupção previstas na legislação brasileira, dentre elas, a Lei de Improbidade Administrativa (Lei nº 8.429/1992) e a Lei n° 12.846/2013 e seus regulamentos (em conjunto, "Leis Anticorrupção") e se comp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rometem a cumpri-las fielmente, por si e por seus sócios, administradores e colaboradores, bem como exigir o seu cumprimento pelos terceiros por elas contratados.</w:t>
      </w:r>
    </w:p>
    <w:p w14:paraId="00000063" w14:textId="5E542F85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§ 1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>
        <w:rPr>
          <w:rFonts w:asciiTheme="majorHAnsi" w:eastAsia="Arial Narrow" w:hAnsiTheme="majorHAnsi" w:cstheme="majorHAnsi"/>
          <w:sz w:val="24"/>
          <w:szCs w:val="24"/>
        </w:rPr>
        <w:t>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A OSC declara que tem e manterá até o final da vigência desta parceria um código de ét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ica e conduta próprio, cujas regras se </w:t>
      </w:r>
      <w:proofErr w:type="gramStart"/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obriga</w:t>
      </w:r>
      <w:proofErr w:type="gramEnd"/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a cumprir fielmente.</w:t>
      </w:r>
    </w:p>
    <w:p w14:paraId="00000064" w14:textId="1C49D61A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§ 2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>
        <w:rPr>
          <w:rFonts w:asciiTheme="majorHAnsi" w:eastAsia="Arial Narrow" w:hAnsiTheme="majorHAnsi" w:cstheme="majorHAnsi"/>
          <w:sz w:val="24"/>
          <w:szCs w:val="24"/>
        </w:rPr>
        <w:t xml:space="preserve">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Sem prejuízo da obrigação de cumprimento das disposições de seu código de ética e conduta, ambas as Partes desde já se obrigam a no exército dos direitos e obrigações previstos nesta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Parceria e no cumprimento de qualquer uma de suas disposições:</w:t>
      </w:r>
    </w:p>
    <w:p w14:paraId="00000065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proofErr w:type="gramStart"/>
      <w:r w:rsidRPr="00245FA7">
        <w:rPr>
          <w:rFonts w:asciiTheme="majorHAnsi" w:eastAsia="Arial Narrow" w:hAnsiTheme="majorHAnsi" w:cstheme="majorHAnsi"/>
          <w:sz w:val="24"/>
          <w:szCs w:val="24"/>
        </w:rPr>
        <w:t>a</w:t>
      </w:r>
      <w:proofErr w:type="gramEnd"/>
      <w:r w:rsidRPr="00245FA7">
        <w:rPr>
          <w:rFonts w:asciiTheme="majorHAnsi" w:eastAsia="Arial Narrow" w:hAnsiTheme="majorHAnsi" w:cstheme="majorHAnsi"/>
          <w:sz w:val="24"/>
          <w:szCs w:val="24"/>
        </w:rPr>
        <w:t>)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não dar, oferecer ou prometer qualquer bem de valor ou vantagem de qualquer natureza a agentes públicos ou a pessoas a eles relacionadas ou ainda quaisquer outras pessoas, empresas e/ou ent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idades privadas, com o objetivo de obter vantagem indevida, influenciar ato ou decisão ou direcionar negócios ilicitamente; assim como realizar quaisquer ações ou omissões que constituam prática ilegal ou de corrupção, nos termos da Lei nº 12.846/2013, ou 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de quaisquer outras leis ou regula mentos aplicáveis ("Leis Anticorrupção"), ainda que não relacionadas com a presente Parceria.</w:t>
      </w:r>
    </w:p>
    <w:p w14:paraId="00000066" w14:textId="7777777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proofErr w:type="gramStart"/>
      <w:r w:rsidRPr="00245FA7">
        <w:rPr>
          <w:rFonts w:asciiTheme="majorHAnsi" w:eastAsia="Arial Narrow" w:hAnsiTheme="majorHAnsi" w:cstheme="majorHAnsi"/>
          <w:sz w:val="24"/>
          <w:szCs w:val="24"/>
        </w:rPr>
        <w:t>b)</w:t>
      </w:r>
      <w:proofErr w:type="gramEnd"/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adotar as melhores práticas de monitoramento e verificação do cumprimento das leis anticorrupção, com o objetivo de prevenir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atos de corrupção, fraude, práticas ilícitas ou lavagem de dinheiro por seus sócios, administradores e colaboradores, bem como exigir o seu cumprimento pelos terceiros por elas contratados.</w:t>
      </w:r>
    </w:p>
    <w:p w14:paraId="00000067" w14:textId="5F8CA04D" w:rsidR="00B205E1" w:rsidRPr="00245FA7" w:rsidRDefault="002377EC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>§ 3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º</w:t>
      </w:r>
      <w:r>
        <w:rPr>
          <w:rFonts w:asciiTheme="majorHAnsi" w:eastAsia="Arial Narrow" w:hAnsiTheme="majorHAnsi" w:cstheme="majorHAnsi"/>
          <w:sz w:val="24"/>
          <w:szCs w:val="24"/>
        </w:rPr>
        <w:t>.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A fundada suspeita de violação de qualquer das obrigações previstas nesta cláusula é causa para a rescisão unilateral desta Parceria, sem prejuízo da cobrança das perdas e danos causados à parte inocente.</w:t>
      </w:r>
    </w:p>
    <w:p w14:paraId="00000068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69" w14:textId="6D4DD2A6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 xml:space="preserve">CLÁUSULA DÉCIMA SEGUNDA </w:t>
      </w:r>
      <w:r w:rsidR="002377EC" w:rsidRPr="00245FA7">
        <w:rPr>
          <w:rFonts w:asciiTheme="majorHAnsi" w:eastAsia="Arial Narrow" w:hAnsiTheme="majorHAnsi" w:cstheme="majorHAnsi"/>
          <w:b/>
          <w:sz w:val="24"/>
          <w:szCs w:val="24"/>
        </w:rPr>
        <w:t>- DAS DISPOSIÇÕES GERAIS</w:t>
      </w:r>
    </w:p>
    <w:p w14:paraId="0000006A" w14:textId="0AF55234" w:rsidR="00B205E1" w:rsidRPr="00245FA7" w:rsidRDefault="00EF1E49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12.1.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Acordam os partícipes, ainda, em estabelecer as condições seguintes:</w:t>
      </w:r>
    </w:p>
    <w:p w14:paraId="0000006B" w14:textId="1DBBAE8C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I</w:t>
      </w:r>
      <w:r w:rsidR="00EF1E49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os trabalhadores contratados pela OSC não guardam qualquer vínculo empregatício com o CAU/RJ, inexistindo, também, qualquer responsabilidade desse último em relação às obrigaçõ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es trabalhistas e demais encargos assumidos pela OSC;</w:t>
      </w:r>
    </w:p>
    <w:p w14:paraId="0000006C" w14:textId="7D85CE47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II</w:t>
      </w:r>
      <w:r w:rsidR="00EF1E49">
        <w:rPr>
          <w:rFonts w:asciiTheme="majorHAnsi" w:eastAsia="Arial Narrow" w:hAnsiTheme="majorHAnsi" w:cstheme="majorHAnsi"/>
          <w:sz w:val="24"/>
          <w:szCs w:val="24"/>
        </w:rPr>
        <w:t xml:space="preserve">. </w:t>
      </w:r>
      <w:proofErr w:type="gramStart"/>
      <w:r w:rsidRPr="00245FA7">
        <w:rPr>
          <w:rFonts w:asciiTheme="majorHAnsi" w:eastAsia="Arial Narrow" w:hAnsiTheme="majorHAnsi" w:cstheme="majorHAnsi"/>
          <w:sz w:val="24"/>
          <w:szCs w:val="24"/>
        </w:rPr>
        <w:t>o</w:t>
      </w:r>
      <w:proofErr w:type="gramEnd"/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CAU/RJ não responde, subsidiária ou solidariamente, pela ausência de cumprimento das obrigações fiscais, trabalhistas, previdenciárias e comerciais assumidas pela OSC, não se responsabilizando, 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ainda, por eventuais demandas judiciais;</w:t>
      </w:r>
    </w:p>
    <w:p w14:paraId="0000006D" w14:textId="59BA8DEC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§ 1º</w:t>
      </w:r>
      <w:r w:rsidR="00EF1E49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Todas as comunicações, relativas a esta parceria, serão consideradas como regularmente efetuadas quando realizadas por meio eletrônico.</w:t>
      </w:r>
    </w:p>
    <w:p w14:paraId="0000006E" w14:textId="5A50931E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lastRenderedPageBreak/>
        <w:t>§ 2º</w:t>
      </w:r>
      <w:r w:rsidR="00EF1E49">
        <w:rPr>
          <w:rFonts w:asciiTheme="majorHAnsi" w:eastAsia="Arial Narrow" w:hAnsiTheme="majorHAnsi" w:cstheme="majorHAnsi"/>
          <w:sz w:val="24"/>
          <w:szCs w:val="24"/>
        </w:rPr>
        <w:t>.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 xml:space="preserve"> As exigências que não puderem ser cumpridas por meio eletrônico d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>everão ser supridas através da regular instrução processual, em meio físico.</w:t>
      </w:r>
    </w:p>
    <w:p w14:paraId="0000006F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70" w14:textId="1A023CC9" w:rsidR="00B205E1" w:rsidRPr="00245FA7" w:rsidRDefault="007172A7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b/>
          <w:sz w:val="24"/>
          <w:szCs w:val="24"/>
        </w:rPr>
        <w:t xml:space="preserve">CLÁUSULA DÉCIMA TERCEIRA - </w:t>
      </w:r>
      <w:r w:rsidR="00EF1E49" w:rsidRPr="00245FA7">
        <w:rPr>
          <w:rFonts w:asciiTheme="majorHAnsi" w:eastAsia="Arial Narrow" w:hAnsiTheme="majorHAnsi" w:cstheme="majorHAnsi"/>
          <w:b/>
          <w:sz w:val="24"/>
          <w:szCs w:val="24"/>
        </w:rPr>
        <w:t>DO FORO</w:t>
      </w:r>
    </w:p>
    <w:p w14:paraId="00000071" w14:textId="62E2B74B" w:rsidR="00B205E1" w:rsidRPr="00245FA7" w:rsidRDefault="00EF1E49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13.1.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Fica eleito o Foro da Comarca da Capital do Estado do Rio de Janeiro (Justiça Federal) para dirimir quaisquer questões resultantes da execução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ou da interpretação deste instrumento e que não puderem ser resolvidas administrativamente.</w:t>
      </w:r>
    </w:p>
    <w:p w14:paraId="00000072" w14:textId="2E9EB501" w:rsidR="00B205E1" w:rsidRPr="00245FA7" w:rsidRDefault="00EF1E49" w:rsidP="00245FA7">
      <w:pPr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sz w:val="24"/>
          <w:szCs w:val="24"/>
        </w:rPr>
        <w:t xml:space="preserve">13.2. 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E, por estarem de acordo com as cláusulas e condições ajustadas, firmam o presente termo, em </w:t>
      </w:r>
      <w:proofErr w:type="gramStart"/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2</w:t>
      </w:r>
      <w:proofErr w:type="gramEnd"/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 xml:space="preserve"> (duas) vias de igual teor, na presença das testemunhas abaixo assinad</w:t>
      </w:r>
      <w:r w:rsidR="007172A7" w:rsidRPr="00245FA7">
        <w:rPr>
          <w:rFonts w:asciiTheme="majorHAnsi" w:eastAsia="Arial Narrow" w:hAnsiTheme="majorHAnsi" w:cstheme="majorHAnsi"/>
          <w:sz w:val="24"/>
          <w:szCs w:val="24"/>
        </w:rPr>
        <w:t>as, para que produza os efeitos legais.</w:t>
      </w:r>
    </w:p>
    <w:p w14:paraId="00000073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74" w14:textId="1992AB67" w:rsidR="00B205E1" w:rsidRPr="00245FA7" w:rsidRDefault="007172A7" w:rsidP="00245FA7">
      <w:pPr>
        <w:shd w:val="clear" w:color="auto" w:fill="FFFFFF" w:themeFill="background1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Rio de Janeiro, XX de XXXXX de 202</w:t>
      </w:r>
      <w:r w:rsidR="1BCAD870" w:rsidRPr="00245FA7">
        <w:rPr>
          <w:rFonts w:asciiTheme="majorHAnsi" w:eastAsia="Arial Narrow" w:hAnsiTheme="majorHAnsi" w:cstheme="majorHAnsi"/>
          <w:sz w:val="24"/>
          <w:szCs w:val="24"/>
        </w:rPr>
        <w:t>3</w:t>
      </w:r>
      <w:r w:rsidR="00EF1E49">
        <w:rPr>
          <w:rFonts w:asciiTheme="majorHAnsi" w:eastAsia="Arial Narrow" w:hAnsiTheme="majorHAnsi" w:cstheme="majorHAnsi"/>
          <w:sz w:val="24"/>
          <w:szCs w:val="24"/>
        </w:rPr>
        <w:t>.</w:t>
      </w:r>
    </w:p>
    <w:p w14:paraId="00000075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76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77" w14:textId="77777777" w:rsidR="00B205E1" w:rsidRPr="00245FA7" w:rsidRDefault="007172A7" w:rsidP="00EF1E49">
      <w:pPr>
        <w:shd w:val="clear" w:color="auto" w:fill="FFFFFF"/>
        <w:spacing w:after="200"/>
        <w:ind w:right="561"/>
        <w:jc w:val="center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Conselho de Arquitetura e Urbanismo do Rio de Janeiro – CAU/RJ</w:t>
      </w:r>
    </w:p>
    <w:p w14:paraId="00000078" w14:textId="77777777" w:rsidR="00B205E1" w:rsidRPr="00245FA7" w:rsidRDefault="007172A7" w:rsidP="00EF1E49">
      <w:pPr>
        <w:shd w:val="clear" w:color="auto" w:fill="FFFFFF"/>
        <w:spacing w:after="200"/>
        <w:ind w:right="561"/>
        <w:jc w:val="center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Pablo Cesar Benetti</w:t>
      </w:r>
    </w:p>
    <w:p w14:paraId="00000079" w14:textId="0934F460" w:rsidR="00B205E1" w:rsidRPr="00245FA7" w:rsidRDefault="007172A7" w:rsidP="00EF1E49">
      <w:pPr>
        <w:shd w:val="clear" w:color="auto" w:fill="FFFFFF"/>
        <w:spacing w:after="200"/>
        <w:ind w:right="561"/>
        <w:jc w:val="center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Presidente</w:t>
      </w:r>
    </w:p>
    <w:p w14:paraId="4F8FB960" w14:textId="77777777" w:rsidR="00EF1E49" w:rsidRDefault="00EF1E49" w:rsidP="00EF1E49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57C7820C" w14:textId="77777777" w:rsidR="00EF1E49" w:rsidRDefault="00EF1E49" w:rsidP="00EF1E49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1BD4EEF6" w14:textId="77777777" w:rsidR="00EF1E49" w:rsidRDefault="00EF1E49" w:rsidP="00EF1E49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7A" w14:textId="77777777" w:rsidR="00B205E1" w:rsidRPr="00245FA7" w:rsidRDefault="007172A7" w:rsidP="00EF1E49">
      <w:pPr>
        <w:shd w:val="clear" w:color="auto" w:fill="FFFFFF"/>
        <w:spacing w:after="200"/>
        <w:ind w:right="561"/>
        <w:jc w:val="center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(NOME DO DIRIGENTE/PRESIDENTE)</w:t>
      </w:r>
    </w:p>
    <w:p w14:paraId="0000007B" w14:textId="77777777" w:rsidR="00B205E1" w:rsidRPr="00245FA7" w:rsidRDefault="007172A7" w:rsidP="00EF1E49">
      <w:pPr>
        <w:shd w:val="clear" w:color="auto" w:fill="FFFFFF"/>
        <w:spacing w:after="200"/>
        <w:ind w:right="561"/>
        <w:jc w:val="center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(Cargo do dirigente da entidade)</w:t>
      </w:r>
    </w:p>
    <w:p w14:paraId="0000007C" w14:textId="77777777" w:rsidR="00B205E1" w:rsidRDefault="00B205E1" w:rsidP="00EF1E49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52E01CB9" w14:textId="77777777" w:rsidR="00EF1E49" w:rsidRPr="00245FA7" w:rsidRDefault="00EF1E49" w:rsidP="00EF1E49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0000007D" w14:textId="77777777" w:rsidR="00B205E1" w:rsidRPr="00245FA7" w:rsidRDefault="007172A7" w:rsidP="00EF1E49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Testemunhas:</w:t>
      </w:r>
    </w:p>
    <w:p w14:paraId="0000007E" w14:textId="77777777" w:rsidR="00B205E1" w:rsidRPr="00245FA7" w:rsidRDefault="007172A7" w:rsidP="00EF1E49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Nome: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Nome:</w:t>
      </w:r>
    </w:p>
    <w:p w14:paraId="0000007F" w14:textId="77777777" w:rsidR="00B205E1" w:rsidRPr="00245FA7" w:rsidRDefault="007172A7" w:rsidP="00EF1E49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RG: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RG:</w:t>
      </w:r>
    </w:p>
    <w:p w14:paraId="00000081" w14:textId="7ABAB860" w:rsidR="00B205E1" w:rsidRPr="00245FA7" w:rsidRDefault="007172A7" w:rsidP="00EF1E49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245FA7">
        <w:rPr>
          <w:rFonts w:asciiTheme="majorHAnsi" w:eastAsia="Arial Narrow" w:hAnsiTheme="majorHAnsi" w:cstheme="majorHAnsi"/>
          <w:sz w:val="24"/>
          <w:szCs w:val="24"/>
        </w:rPr>
        <w:t>CPF:</w:t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</w:r>
      <w:r w:rsidRPr="00245FA7">
        <w:rPr>
          <w:rFonts w:asciiTheme="majorHAnsi" w:eastAsia="Arial Narrow" w:hAnsiTheme="majorHAnsi" w:cstheme="majorHAnsi"/>
          <w:sz w:val="24"/>
          <w:szCs w:val="24"/>
        </w:rPr>
        <w:tab/>
        <w:t>CPF:</w:t>
      </w:r>
      <w:bookmarkStart w:id="4" w:name="_GoBack"/>
      <w:bookmarkEnd w:id="4"/>
    </w:p>
    <w:p w14:paraId="00000082" w14:textId="77777777" w:rsidR="00B205E1" w:rsidRPr="00245FA7" w:rsidRDefault="00B205E1" w:rsidP="00245FA7">
      <w:pPr>
        <w:shd w:val="clear" w:color="auto" w:fill="FFFFFF"/>
        <w:spacing w:after="200"/>
        <w:ind w:right="561"/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sectPr w:rsidR="00B205E1" w:rsidRPr="00245FA7">
      <w:headerReference w:type="default" r:id="rId10"/>
      <w:footerReference w:type="default" r:id="rId11"/>
      <w:pgSz w:w="11905" w:h="16837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90B7A" w14:textId="77777777" w:rsidR="007172A7" w:rsidRDefault="007172A7">
      <w:r>
        <w:separator/>
      </w:r>
    </w:p>
  </w:endnote>
  <w:endnote w:type="continuationSeparator" w:id="0">
    <w:p w14:paraId="40748C1F" w14:textId="77777777" w:rsidR="007172A7" w:rsidRDefault="007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4" w14:textId="77777777" w:rsidR="00B205E1" w:rsidRDefault="00B205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0000085" w14:textId="77777777" w:rsidR="00B205E1" w:rsidRDefault="00717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 xml:space="preserve">Avenida República do Chile, 230 - 23º </w:t>
    </w:r>
    <w:proofErr w:type="gramStart"/>
    <w:r>
      <w:rPr>
        <w:rFonts w:ascii="Arial Narrow" w:eastAsia="Arial Narrow" w:hAnsi="Arial Narrow" w:cs="Arial Narrow"/>
        <w:color w:val="000000"/>
      </w:rPr>
      <w:t>andar</w:t>
    </w:r>
    <w:proofErr w:type="gramEnd"/>
  </w:p>
  <w:p w14:paraId="00000086" w14:textId="77777777" w:rsidR="00B205E1" w:rsidRDefault="00717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Centro - Rio de Janeiro - RJ - CEP: 20.031-170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C019B22" wp14:editId="07777777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034045" cy="77468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44853" y="3757141"/>
                        <a:ext cx="6002295" cy="45719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376C7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39BE768A" wp14:editId="7777777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034045" cy="77468"/>
              <wp:effectExtent l="0" t="0" r="0" b="0"/>
              <wp:wrapNone/>
              <wp:docPr id="1202541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34045" cy="774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000087" w14:textId="77777777" w:rsidR="00B205E1" w:rsidRDefault="00717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376C71"/>
      </w:rPr>
    </w:pPr>
    <w:r>
      <w:rPr>
        <w:rFonts w:ascii="Arial Narrow" w:eastAsia="Arial Narrow" w:hAnsi="Arial Narrow" w:cs="Arial Narrow"/>
        <w:b/>
        <w:color w:val="376C71"/>
      </w:rPr>
      <w:t>www.caurj.gov.br</w:t>
    </w:r>
    <w:r>
      <w:rPr>
        <w:rFonts w:ascii="Arial Narrow" w:eastAsia="Arial Narrow" w:hAnsi="Arial Narrow" w:cs="Arial Narrow"/>
        <w:color w:val="376C71"/>
      </w:rPr>
      <w:t xml:space="preserve"> / Conselho de Arquitetura e Urbanismo do Rio de Janeiro</w:t>
    </w:r>
    <w:r>
      <w:rPr>
        <w:color w:val="376C71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B806" w14:textId="77777777" w:rsidR="007172A7" w:rsidRDefault="007172A7">
      <w:r>
        <w:separator/>
      </w:r>
    </w:p>
  </w:footnote>
  <w:footnote w:type="continuationSeparator" w:id="0">
    <w:p w14:paraId="48B5D3D6" w14:textId="77777777" w:rsidR="007172A7" w:rsidRDefault="00717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83" w14:textId="77777777" w:rsidR="00B205E1" w:rsidRDefault="007172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5DF3F37" wp14:editId="07777777">
          <wp:extent cx="5934075" cy="971550"/>
          <wp:effectExtent l="0" t="0" r="0" b="0"/>
          <wp:docPr id="2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HYsNOWz7" int2:invalidationBookmarkName="" int2:hashCode="iPbymmII8qOWrq" int2:id="nSwuoN1k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05E1"/>
    <w:rsid w:val="002377EC"/>
    <w:rsid w:val="00245FA7"/>
    <w:rsid w:val="007172A7"/>
    <w:rsid w:val="00755C38"/>
    <w:rsid w:val="00B205E1"/>
    <w:rsid w:val="00E415FF"/>
    <w:rsid w:val="00EF1E49"/>
    <w:rsid w:val="031A6374"/>
    <w:rsid w:val="079D8B05"/>
    <w:rsid w:val="105897DE"/>
    <w:rsid w:val="190BD1DB"/>
    <w:rsid w:val="1BCAD870"/>
    <w:rsid w:val="21627E9B"/>
    <w:rsid w:val="258BC248"/>
    <w:rsid w:val="268CF62E"/>
    <w:rsid w:val="2EA88E49"/>
    <w:rsid w:val="2F0CEF30"/>
    <w:rsid w:val="30A9F069"/>
    <w:rsid w:val="355FE492"/>
    <w:rsid w:val="36FBB4F3"/>
    <w:rsid w:val="37CE6203"/>
    <w:rsid w:val="3B0E49D4"/>
    <w:rsid w:val="46394FAF"/>
    <w:rsid w:val="4A9459EC"/>
    <w:rsid w:val="57D53F57"/>
    <w:rsid w:val="5886A2E9"/>
    <w:rsid w:val="62B8F2E8"/>
    <w:rsid w:val="66AFD137"/>
    <w:rsid w:val="6F3CF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B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ahoma" w:eastAsia="Tahoma" w:hAnsi="Tahoma" w:cs="Tahoma"/>
      <w:b/>
      <w:color w:val="0000FF"/>
      <w:sz w:val="28"/>
      <w:szCs w:val="28"/>
    </w:rPr>
  </w:style>
  <w:style w:type="paragraph" w:styleId="Ttulo2">
    <w:name w:val="heading 2"/>
    <w:basedOn w:val="Normal"/>
    <w:next w:val="Normal"/>
    <w:pPr>
      <w:keepNext/>
      <w:ind w:right="-597"/>
      <w:jc w:val="both"/>
      <w:outlineLvl w:val="1"/>
    </w:pPr>
    <w:rPr>
      <w:rFonts w:ascii="Arial" w:eastAsia="Arial" w:hAnsi="Arial" w:cs="Arial"/>
      <w:color w:val="0000FF"/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  <w:color w:val="0000FF"/>
      <w:sz w:val="44"/>
      <w:szCs w:val="44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Tahoma" w:eastAsia="Tahoma" w:hAnsi="Tahoma" w:cs="Tahoma"/>
      <w:b/>
      <w:color w:val="0000FF"/>
      <w:sz w:val="16"/>
      <w:szCs w:val="16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color w:val="0000FF"/>
      <w:sz w:val="24"/>
      <w:szCs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F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F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ahoma" w:eastAsia="Tahoma" w:hAnsi="Tahoma" w:cs="Tahoma"/>
      <w:b/>
      <w:color w:val="0000FF"/>
      <w:sz w:val="28"/>
      <w:szCs w:val="28"/>
    </w:rPr>
  </w:style>
  <w:style w:type="paragraph" w:styleId="Ttulo2">
    <w:name w:val="heading 2"/>
    <w:basedOn w:val="Normal"/>
    <w:next w:val="Normal"/>
    <w:pPr>
      <w:keepNext/>
      <w:ind w:right="-597"/>
      <w:jc w:val="both"/>
      <w:outlineLvl w:val="1"/>
    </w:pPr>
    <w:rPr>
      <w:rFonts w:ascii="Arial" w:eastAsia="Arial" w:hAnsi="Arial" w:cs="Arial"/>
      <w:color w:val="0000FF"/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  <w:color w:val="0000FF"/>
      <w:sz w:val="44"/>
      <w:szCs w:val="44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Tahoma" w:eastAsia="Tahoma" w:hAnsi="Tahoma" w:cs="Tahoma"/>
      <w:b/>
      <w:color w:val="0000FF"/>
      <w:sz w:val="16"/>
      <w:szCs w:val="16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color w:val="0000FF"/>
      <w:sz w:val="24"/>
      <w:szCs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5F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F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4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06c24d3c97384ba0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6" ma:contentTypeDescription="Crie um novo documento." ma:contentTypeScope="" ma:versionID="7bea92468bc5e3b881efe24f00df87d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8b4fb91f5ceb40e70b5fe37c00dd54ed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68EC8-E671-4C41-9C43-DAFB6A8E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eb063999-d7c3-4447-be4a-b50773df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E16FF-F337-4073-99D3-530F53FA0B79}">
  <ds:schemaRefs>
    <ds:schemaRef ds:uri="http://schemas.microsoft.com/office/2006/metadata/properties"/>
    <ds:schemaRef ds:uri="http://schemas.microsoft.com/office/infopath/2007/PartnerControls"/>
    <ds:schemaRef ds:uri="eb063999-d7c3-4447-be4a-b50773dfeb08"/>
    <ds:schemaRef ds:uri="c98b360e-823b-498d-9377-b109947a512d"/>
  </ds:schemaRefs>
</ds:datastoreItem>
</file>

<file path=customXml/itemProps3.xml><?xml version="1.0" encoding="utf-8"?>
<ds:datastoreItem xmlns:ds="http://schemas.openxmlformats.org/officeDocument/2006/customXml" ds:itemID="{85B3BE76-BF61-4373-92FB-F77C94AC49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3017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 Belmonte</cp:lastModifiedBy>
  <cp:revision>5</cp:revision>
  <dcterms:created xsi:type="dcterms:W3CDTF">2023-03-30T14:59:00Z</dcterms:created>
  <dcterms:modified xsi:type="dcterms:W3CDTF">2023-03-30T15:15:00Z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  <property fmtid="{D5CDD505-2E9C-101B-9397-08002B2CF9AE}" pid="3" name="MediaServiceImageTags">
    <vt:lpwstr/>
  </property>
</Properties>
</file>