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 w:right="0"/>
        <w:jc w:val="left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7"/>
        </w:rPr>
      </w:pPr>
    </w:p>
    <w:p>
      <w:pPr>
        <w:spacing w:before="90"/>
        <w:ind w:left="802" w:right="225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AVISO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17"/>
        <w:ind w:left="799"/>
      </w:pP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Nº 01/2016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line="237" w:lineRule="auto" w:before="218"/>
        <w:ind w:left="242" w:right="1082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spacing w:before="5"/>
        <w:rPr>
          <w:sz w:val="34"/>
        </w:rPr>
      </w:pPr>
    </w:p>
    <w:p>
      <w:pPr>
        <w:spacing w:line="240" w:lineRule="auto" w:before="0"/>
        <w:ind w:left="242" w:right="1695" w:firstLine="0"/>
        <w:jc w:val="both"/>
        <w:rPr>
          <w:sz w:val="22"/>
        </w:rPr>
      </w:pPr>
      <w:r>
        <w:rPr>
          <w:rFonts w:ascii="Arial" w:hAnsi="Arial"/>
          <w:b/>
          <w:w w:val="80"/>
          <w:sz w:val="24"/>
        </w:rPr>
        <w:t>A COMISSÃO PERMANENTE DE LICITAÇÃO</w:t>
      </w:r>
      <w:r>
        <w:rPr>
          <w:w w:val="80"/>
          <w:sz w:val="24"/>
        </w:rPr>
        <w:t>, comunica que, a sessão pública da Tomada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Preços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01/2016,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realizada 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10/10/2016,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14:00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-2"/>
          <w:w w:val="85"/>
          <w:sz w:val="24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sede,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localizada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21º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RJ.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42" w:right="0" w:firstLine="0"/>
        <w:jc w:val="both"/>
        <w:rPr>
          <w:sz w:val="22"/>
        </w:rPr>
      </w:pP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Janeiro,05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outubro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right="2255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8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5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22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2021-09-15T14:58:25Z</dcterms:created>
  <dcterms:modified xsi:type="dcterms:W3CDTF">2021-09-15T14:58:25Z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