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1416" w14:textId="49A7CF11" w:rsidR="00C05C38" w:rsidRPr="00E2391C" w:rsidRDefault="18C2EE87" w:rsidP="7571DA93">
      <w:pPr>
        <w:spacing w:after="120" w:line="240" w:lineRule="auto"/>
        <w:jc w:val="center"/>
        <w:rPr>
          <w:rFonts w:ascii="Arial" w:eastAsia="Arial" w:hAnsi="Arial" w:cs="Arial"/>
          <w:b/>
          <w:bCs/>
        </w:rPr>
      </w:pPr>
      <w:r w:rsidRPr="727AC21A">
        <w:rPr>
          <w:rFonts w:ascii="Arial" w:eastAsia="Arial" w:hAnsi="Arial" w:cs="Arial"/>
          <w:b/>
          <w:bCs/>
        </w:rPr>
        <w:t>ANEXO I</w:t>
      </w:r>
      <w:r w:rsidR="5AC1D760" w:rsidRPr="727AC21A">
        <w:rPr>
          <w:rFonts w:ascii="Arial" w:eastAsia="Arial" w:hAnsi="Arial" w:cs="Arial"/>
          <w:b/>
          <w:bCs/>
        </w:rPr>
        <w:t>II</w:t>
      </w:r>
    </w:p>
    <w:p w14:paraId="00000006" w14:textId="5F7AFD8D" w:rsidR="00C05C38" w:rsidRPr="00E2391C" w:rsidRDefault="00E2391C" w:rsidP="7571DA93">
      <w:pPr>
        <w:spacing w:after="120" w:line="240" w:lineRule="auto"/>
        <w:jc w:val="center"/>
        <w:rPr>
          <w:rFonts w:ascii="Arial" w:eastAsia="Arial" w:hAnsi="Arial" w:cs="Arial"/>
          <w:b/>
          <w:bCs/>
        </w:rPr>
      </w:pPr>
      <w:r w:rsidRPr="147FF883">
        <w:rPr>
          <w:rFonts w:ascii="Arial" w:eastAsia="Arial" w:hAnsi="Arial" w:cs="Arial"/>
          <w:b/>
          <w:bCs/>
        </w:rPr>
        <w:t xml:space="preserve">Declaração de atendimento ao art. 26, IX, </w:t>
      </w:r>
      <w:r w:rsidR="58EEFA6C" w:rsidRPr="147FF883">
        <w:rPr>
          <w:rFonts w:ascii="Arial" w:eastAsia="Arial" w:hAnsi="Arial" w:cs="Arial"/>
          <w:b/>
          <w:bCs/>
        </w:rPr>
        <w:t>D</w:t>
      </w:r>
      <w:r w:rsidRPr="147FF883">
        <w:rPr>
          <w:rFonts w:ascii="Arial" w:eastAsia="Arial" w:hAnsi="Arial" w:cs="Arial"/>
          <w:b/>
          <w:bCs/>
        </w:rPr>
        <w:t>ec. 8.726/2016</w:t>
      </w:r>
    </w:p>
    <w:p w14:paraId="3DE3D8A8" w14:textId="57C2556B" w:rsidR="4C37371C" w:rsidRDefault="27624AF0" w:rsidP="147FF883">
      <w:pPr>
        <w:tabs>
          <w:tab w:val="left" w:pos="851"/>
        </w:tabs>
        <w:spacing w:after="120"/>
        <w:jc w:val="center"/>
        <w:rPr>
          <w:rFonts w:ascii="Arial" w:eastAsia="Arial" w:hAnsi="Arial" w:cs="Arial"/>
          <w:color w:val="000000" w:themeColor="text1"/>
        </w:rPr>
      </w:pPr>
      <w:r w:rsidRPr="147FF883">
        <w:rPr>
          <w:rFonts w:ascii="Arial" w:eastAsia="Arial" w:hAnsi="Arial" w:cs="Arial"/>
          <w:b/>
          <w:bCs/>
          <w:color w:val="000000" w:themeColor="text1"/>
        </w:rPr>
        <w:t>Chamada Pública 008/2023 - Edital 001/2023 de Seleção Pública de Projetos Culturais para Patrocínio pelo CAU/RJ</w:t>
      </w:r>
    </w:p>
    <w:p w14:paraId="773E46D7" w14:textId="57F712C7" w:rsidR="4C37371C" w:rsidRDefault="27624AF0" w:rsidP="7571DA93">
      <w:pPr>
        <w:spacing w:after="120" w:line="240" w:lineRule="auto"/>
        <w:jc w:val="center"/>
      </w:pPr>
      <w:r w:rsidRPr="147FF883">
        <w:rPr>
          <w:rFonts w:ascii="Arial" w:eastAsia="Arial" w:hAnsi="Arial" w:cs="Arial"/>
          <w:b/>
          <w:bCs/>
          <w:color w:val="000000" w:themeColor="text1"/>
        </w:rPr>
        <w:t xml:space="preserve"> ÍTALO CAMPOFIORITO</w:t>
      </w:r>
    </w:p>
    <w:p w14:paraId="40B410AC" w14:textId="50CA4590" w:rsidR="7571DA93" w:rsidRDefault="7571DA93" w:rsidP="7571DA93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00000007" w14:textId="06500232" w:rsidR="00C05C38" w:rsidRDefault="00E2391C" w:rsidP="7571DA93">
      <w:pPr>
        <w:spacing w:after="120" w:line="240" w:lineRule="auto"/>
        <w:jc w:val="both"/>
        <w:rPr>
          <w:rFonts w:ascii="Arial" w:eastAsia="Arial" w:hAnsi="Arial" w:cs="Arial"/>
        </w:rPr>
      </w:pPr>
      <w:r w:rsidRPr="7571DA93">
        <w:rPr>
          <w:rFonts w:ascii="Arial" w:eastAsia="Arial" w:hAnsi="Arial" w:cs="Arial"/>
          <w:b/>
          <w:bCs/>
        </w:rPr>
        <w:t>(Representante Legal)</w:t>
      </w:r>
      <w:r w:rsidRPr="7571DA93">
        <w:rPr>
          <w:rFonts w:ascii="Arial" w:eastAsia="Arial" w:hAnsi="Arial" w:cs="Arial"/>
        </w:rPr>
        <w:t xml:space="preserve">, na condição de representante legal da </w:t>
      </w:r>
      <w:r w:rsidRPr="7571DA93">
        <w:rPr>
          <w:rFonts w:ascii="Arial" w:eastAsia="Arial" w:hAnsi="Arial" w:cs="Arial"/>
          <w:b/>
          <w:bCs/>
        </w:rPr>
        <w:t>(Organização da Sociedade Civil)</w:t>
      </w:r>
      <w:r w:rsidRPr="7571DA93">
        <w:rPr>
          <w:rFonts w:ascii="Arial" w:eastAsia="Arial" w:hAnsi="Arial" w:cs="Arial"/>
        </w:rPr>
        <w:t>, (CNPJ/MF nº), declara, sob as penas da lei, de acordo com a determinação constante do art. 26, IX do Decreto nº 8.726/2016, que a organização e seus dirigentes não incorrem em quaisquer das vedações previstas no</w:t>
      </w:r>
      <w:hyperlink r:id="rId7" w:anchor="art39">
        <w:r w:rsidRPr="7571DA93">
          <w:rPr>
            <w:rFonts w:ascii="Arial" w:eastAsia="Arial" w:hAnsi="Arial" w:cs="Arial"/>
          </w:rPr>
          <w:t xml:space="preserve"> </w:t>
        </w:r>
      </w:hyperlink>
      <w:hyperlink r:id="rId8" w:anchor="art39">
        <w:r w:rsidRPr="7571DA93">
          <w:rPr>
            <w:rFonts w:ascii="Arial" w:eastAsia="Arial" w:hAnsi="Arial" w:cs="Arial"/>
            <w:color w:val="0000FF"/>
            <w:u w:val="single"/>
          </w:rPr>
          <w:t>art. 39 da Lei nº 13.019, de 2014</w:t>
        </w:r>
      </w:hyperlink>
      <w:r w:rsidRPr="7571DA93">
        <w:rPr>
          <w:rFonts w:ascii="Arial" w:eastAsia="Arial" w:hAnsi="Arial" w:cs="Arial"/>
        </w:rPr>
        <w:t xml:space="preserve"> e suas alterações, conforme transcrito abaixo:</w:t>
      </w:r>
    </w:p>
    <w:p w14:paraId="00000008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  <w:r w:rsidRPr="00E2391C">
        <w:rPr>
          <w:rFonts w:ascii="Arial" w:eastAsia="Arial" w:hAnsi="Arial" w:cs="Arial"/>
          <w:i/>
          <w:sz w:val="20"/>
          <w:szCs w:val="20"/>
        </w:rPr>
        <w:t>“Art. 39. Ficará impedida de celebrar qualquer modalidade de parceria prevista nesta Lei a organização da sociedade civil que:</w:t>
      </w:r>
    </w:p>
    <w:p w14:paraId="00000009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I - </w:t>
      </w:r>
      <w:proofErr w:type="gramStart"/>
      <w:r w:rsidRPr="00E2391C">
        <w:rPr>
          <w:rFonts w:ascii="Arial" w:eastAsia="Arial" w:hAnsi="Arial" w:cs="Arial"/>
          <w:i/>
          <w:sz w:val="20"/>
          <w:szCs w:val="20"/>
        </w:rPr>
        <w:t>não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esteja regularmente constituída ou, se estrangeira, não esteja autorizada a funcionar no território nacional;</w:t>
      </w:r>
    </w:p>
    <w:p w14:paraId="0000000A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II - </w:t>
      </w:r>
      <w:proofErr w:type="gramStart"/>
      <w:r w:rsidRPr="00E2391C">
        <w:rPr>
          <w:rFonts w:ascii="Arial" w:eastAsia="Arial" w:hAnsi="Arial" w:cs="Arial"/>
          <w:i/>
          <w:sz w:val="20"/>
          <w:szCs w:val="20"/>
        </w:rPr>
        <w:t>esteja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omissa no dever de prestar contas de parceria anteriormente celebrada;</w:t>
      </w:r>
    </w:p>
    <w:p w14:paraId="0000000B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      </w:t>
      </w:r>
      <w:r w:rsidRPr="00E2391C">
        <w:rPr>
          <w:rFonts w:ascii="Arial" w:eastAsia="Arial" w:hAnsi="Arial" w:cs="Arial"/>
          <w:i/>
          <w:sz w:val="20"/>
          <w:szCs w:val="20"/>
        </w:rPr>
        <w:tab/>
        <w:t xml:space="preserve"> </w:t>
      </w:r>
    </w:p>
    <w:p w14:paraId="0000000C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IV - </w:t>
      </w:r>
      <w:proofErr w:type="gramStart"/>
      <w:r w:rsidRPr="00E2391C">
        <w:rPr>
          <w:rFonts w:ascii="Arial" w:eastAsia="Arial" w:hAnsi="Arial" w:cs="Arial"/>
          <w:i/>
          <w:sz w:val="20"/>
          <w:szCs w:val="20"/>
        </w:rPr>
        <w:t>tenha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tido as contas rejeitadas pela administração pública nos últimos cinco anos, exceto se:     </w:t>
      </w:r>
      <w:r w:rsidRPr="00E2391C">
        <w:rPr>
          <w:rFonts w:ascii="Arial" w:eastAsia="Arial" w:hAnsi="Arial" w:cs="Arial"/>
          <w:i/>
          <w:sz w:val="20"/>
          <w:szCs w:val="20"/>
        </w:rPr>
        <w:tab/>
      </w:r>
    </w:p>
    <w:p w14:paraId="0000000D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a) for sanada a irregularidade que motivou a rejeição e quitados os débitos eventualmente imputados;     </w:t>
      </w:r>
      <w:r w:rsidRPr="00E2391C">
        <w:rPr>
          <w:rFonts w:ascii="Arial" w:eastAsia="Arial" w:hAnsi="Arial" w:cs="Arial"/>
          <w:i/>
          <w:sz w:val="20"/>
          <w:szCs w:val="20"/>
        </w:rPr>
        <w:tab/>
      </w:r>
    </w:p>
    <w:p w14:paraId="0000000E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b) for reconsiderada ou revista a decisão pela rejeição;     </w:t>
      </w:r>
      <w:r w:rsidRPr="00E2391C">
        <w:rPr>
          <w:rFonts w:ascii="Arial" w:eastAsia="Arial" w:hAnsi="Arial" w:cs="Arial"/>
          <w:i/>
          <w:sz w:val="20"/>
          <w:szCs w:val="20"/>
        </w:rPr>
        <w:tab/>
        <w:t xml:space="preserve"> </w:t>
      </w:r>
    </w:p>
    <w:p w14:paraId="0000000F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c) a apreciação das contas estiver pendente de decisão sobre recurso com efeito suspensivo;       </w:t>
      </w:r>
      <w:r w:rsidRPr="00E2391C">
        <w:rPr>
          <w:rFonts w:ascii="Arial" w:eastAsia="Arial" w:hAnsi="Arial" w:cs="Arial"/>
          <w:i/>
          <w:sz w:val="20"/>
          <w:szCs w:val="20"/>
        </w:rPr>
        <w:tab/>
      </w:r>
    </w:p>
    <w:p w14:paraId="00000010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V - </w:t>
      </w:r>
      <w:proofErr w:type="gramStart"/>
      <w:r w:rsidRPr="00E2391C">
        <w:rPr>
          <w:rFonts w:ascii="Arial" w:eastAsia="Arial" w:hAnsi="Arial" w:cs="Arial"/>
          <w:i/>
          <w:sz w:val="20"/>
          <w:szCs w:val="20"/>
        </w:rPr>
        <w:t>tenha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sido punida com uma das seguintes sanções, pelo período que durar a penalidade:</w:t>
      </w:r>
    </w:p>
    <w:p w14:paraId="00000011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a) suspensão de participação em licitação e impedimento de contratar com a administração;</w:t>
      </w:r>
    </w:p>
    <w:p w14:paraId="00000012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b) declaração de inidoneidade para licitar ou contratar com a administração pública;</w:t>
      </w:r>
    </w:p>
    <w:p w14:paraId="00000013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c) a prevista no inciso II do art. 73 desta Lei;</w:t>
      </w:r>
    </w:p>
    <w:p w14:paraId="00000014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d) a prevista no inciso III do art. 73 desta Lei;</w:t>
      </w:r>
    </w:p>
    <w:p w14:paraId="00000015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VI - </w:t>
      </w:r>
      <w:proofErr w:type="gramStart"/>
      <w:r w:rsidRPr="00E2391C">
        <w:rPr>
          <w:rFonts w:ascii="Arial" w:eastAsia="Arial" w:hAnsi="Arial" w:cs="Arial"/>
          <w:i/>
          <w:sz w:val="20"/>
          <w:szCs w:val="20"/>
        </w:rPr>
        <w:t>tenha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tido contas de parceria julgadas irregulares ou rejeitadas por Tribunal ou Conselho de Contas de qualquer esfera da Federação, em decisão irrecorrível, nos últimos 8 (oito) anos;</w:t>
      </w:r>
    </w:p>
    <w:p w14:paraId="00000016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VII - tenha entre seus dirigentes pessoa:</w:t>
      </w:r>
    </w:p>
    <w:p w14:paraId="00000017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018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b) julgada responsável por falta grave e inabilitada para o exercício de cargo em comissão ou função de confiança, enquanto durar a inabilitação;</w:t>
      </w:r>
    </w:p>
    <w:p w14:paraId="00000019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c) considerada responsável por ato de improbidade, enquanto durarem os prazos estabelecidos nos</w:t>
      </w:r>
      <w:hyperlink r:id="rId9" w:anchor="art12i">
        <w:r w:rsidRPr="00E2391C">
          <w:rPr>
            <w:rFonts w:ascii="Arial" w:eastAsia="Arial" w:hAnsi="Arial" w:cs="Arial"/>
            <w:i/>
            <w:sz w:val="20"/>
            <w:szCs w:val="20"/>
          </w:rPr>
          <w:t xml:space="preserve"> </w:t>
        </w:r>
      </w:hyperlink>
      <w:hyperlink r:id="rId10" w:anchor="art12i">
        <w:r w:rsidRPr="00E2391C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incisos I, II e III do art. 12 da Lei n</w:t>
        </w:r>
      </w:hyperlink>
      <w:r w:rsidRPr="00E2391C">
        <w:rPr>
          <w:rFonts w:ascii="Arial" w:eastAsia="Arial" w:hAnsi="Arial" w:cs="Arial"/>
          <w:i/>
          <w:color w:val="0000FF"/>
          <w:sz w:val="20"/>
          <w:szCs w:val="20"/>
          <w:vertAlign w:val="superscript"/>
        </w:rPr>
        <w:t>o</w:t>
      </w:r>
      <w:hyperlink r:id="rId11" w:anchor="art12i">
        <w:r w:rsidRPr="00E2391C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 xml:space="preserve"> 8.429, de 2 de junho de 1992</w:t>
        </w:r>
      </w:hyperlink>
      <w:r w:rsidRPr="00E2391C">
        <w:rPr>
          <w:rFonts w:ascii="Arial" w:eastAsia="Arial" w:hAnsi="Arial" w:cs="Arial"/>
          <w:i/>
          <w:sz w:val="20"/>
          <w:szCs w:val="20"/>
        </w:rPr>
        <w:t>.</w:t>
      </w:r>
    </w:p>
    <w:p w14:paraId="0000001A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lastRenderedPageBreak/>
        <w:t>§ 1</w:t>
      </w:r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01B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§ 2</w:t>
      </w:r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 Em qualquer das hipóteses previstas no </w:t>
      </w:r>
      <w:r w:rsidRPr="00E2391C">
        <w:rPr>
          <w:rFonts w:ascii="Arial" w:eastAsia="Arial" w:hAnsi="Arial" w:cs="Arial"/>
          <w:b/>
          <w:i/>
          <w:sz w:val="20"/>
          <w:szCs w:val="20"/>
        </w:rPr>
        <w:t>caput</w:t>
      </w:r>
      <w:r w:rsidRPr="00E2391C">
        <w:rPr>
          <w:rFonts w:ascii="Arial" w:eastAsia="Arial" w:hAnsi="Arial" w:cs="Arial"/>
          <w:i/>
          <w:sz w:val="20"/>
          <w:szCs w:val="20"/>
        </w:rPr>
        <w:t>, persiste o impedimento para celebrar parceria enquanto não houver o ressarcimento do dano ao erário, pelo qual seja responsável a organização da sociedade civil ou seu dirigente.</w:t>
      </w:r>
    </w:p>
    <w:p w14:paraId="0000001C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§ 3</w:t>
      </w:r>
      <w:proofErr w:type="gramStart"/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  </w:t>
      </w:r>
      <w:hyperlink r:id="rId12" w:anchor="art9">
        <w:r w:rsidRPr="00E2391C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(</w:t>
        </w:r>
        <w:proofErr w:type="gramEnd"/>
        <w:r w:rsidRPr="00E2391C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Revogado)</w:t>
        </w:r>
      </w:hyperlink>
      <w:r w:rsidRPr="00E2391C">
        <w:rPr>
          <w:rFonts w:ascii="Arial" w:eastAsia="Arial" w:hAnsi="Arial" w:cs="Arial"/>
          <w:i/>
          <w:sz w:val="20"/>
          <w:szCs w:val="20"/>
        </w:rPr>
        <w:t xml:space="preserve">.          </w:t>
      </w:r>
    </w:p>
    <w:p w14:paraId="0000001D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 xml:space="preserve"> § 4</w:t>
      </w:r>
      <w:proofErr w:type="gramStart"/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  Para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os fins do disposto na alínea a do inciso IV e no § 2</w:t>
      </w:r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    </w:t>
      </w:r>
      <w:r w:rsidRPr="00E2391C">
        <w:rPr>
          <w:rFonts w:ascii="Arial" w:eastAsia="Arial" w:hAnsi="Arial" w:cs="Arial"/>
          <w:i/>
          <w:sz w:val="20"/>
          <w:szCs w:val="20"/>
        </w:rPr>
        <w:tab/>
        <w:t xml:space="preserve"> </w:t>
      </w:r>
    </w:p>
    <w:p w14:paraId="0000001E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§ 5</w:t>
      </w:r>
      <w:proofErr w:type="gramStart"/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  A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  </w:t>
      </w:r>
      <w:r w:rsidRPr="00E2391C">
        <w:rPr>
          <w:rFonts w:ascii="Arial" w:eastAsia="Arial" w:hAnsi="Arial" w:cs="Arial"/>
          <w:i/>
          <w:sz w:val="20"/>
          <w:szCs w:val="20"/>
        </w:rPr>
        <w:tab/>
        <w:t xml:space="preserve"> </w:t>
      </w:r>
    </w:p>
    <w:p w14:paraId="0000001F" w14:textId="77777777" w:rsidR="00C05C38" w:rsidRPr="00E2391C" w:rsidRDefault="00E2391C" w:rsidP="00E2391C">
      <w:pPr>
        <w:spacing w:after="120" w:line="240" w:lineRule="auto"/>
        <w:ind w:left="560"/>
        <w:jc w:val="both"/>
        <w:rPr>
          <w:rFonts w:ascii="Arial" w:eastAsia="Arial" w:hAnsi="Arial" w:cs="Arial"/>
          <w:i/>
          <w:sz w:val="20"/>
          <w:szCs w:val="20"/>
        </w:rPr>
      </w:pPr>
      <w:r w:rsidRPr="00E2391C">
        <w:rPr>
          <w:rFonts w:ascii="Arial" w:eastAsia="Arial" w:hAnsi="Arial" w:cs="Arial"/>
          <w:i/>
          <w:sz w:val="20"/>
          <w:szCs w:val="20"/>
        </w:rPr>
        <w:t>§ 6</w:t>
      </w:r>
      <w:proofErr w:type="gramStart"/>
      <w:r w:rsidRPr="00E2391C">
        <w:rPr>
          <w:rFonts w:ascii="Arial" w:eastAsia="Arial" w:hAnsi="Arial" w:cs="Arial"/>
          <w:i/>
          <w:sz w:val="20"/>
          <w:szCs w:val="20"/>
          <w:u w:val="single"/>
          <w:vertAlign w:val="superscript"/>
        </w:rPr>
        <w:t>o</w:t>
      </w:r>
      <w:r w:rsidRPr="00E2391C">
        <w:rPr>
          <w:rFonts w:ascii="Arial" w:eastAsia="Arial" w:hAnsi="Arial" w:cs="Arial"/>
          <w:i/>
          <w:sz w:val="20"/>
          <w:szCs w:val="20"/>
        </w:rPr>
        <w:t xml:space="preserve">  Não</w:t>
      </w:r>
      <w:proofErr w:type="gramEnd"/>
      <w:r w:rsidRPr="00E2391C">
        <w:rPr>
          <w:rFonts w:ascii="Arial" w:eastAsia="Arial" w:hAnsi="Arial" w:cs="Arial"/>
          <w:i/>
          <w:sz w:val="20"/>
          <w:szCs w:val="20"/>
        </w:rPr>
        <w:t xml:space="preserve"> são considerados membros de Poder os integrantes de conselhos de direitos e de políticas públicas.”</w:t>
      </w:r>
    </w:p>
    <w:p w14:paraId="00000021" w14:textId="77777777" w:rsidR="00C05C38" w:rsidRPr="00E2391C" w:rsidRDefault="00E2391C" w:rsidP="00E2391C">
      <w:pPr>
        <w:spacing w:after="120" w:line="240" w:lineRule="auto"/>
        <w:jc w:val="both"/>
        <w:rPr>
          <w:rFonts w:ascii="Arial" w:eastAsia="Arial" w:hAnsi="Arial" w:cs="Arial"/>
        </w:rPr>
      </w:pPr>
      <w:r w:rsidRPr="7571DA93">
        <w:rPr>
          <w:rFonts w:ascii="Arial" w:eastAsia="Arial" w:hAnsi="Arial" w:cs="Arial"/>
        </w:rPr>
        <w:t>Por ser verdade, firmamos a presente.</w:t>
      </w:r>
    </w:p>
    <w:p w14:paraId="00000022" w14:textId="77777777" w:rsidR="00C05C38" w:rsidRPr="00E2391C" w:rsidRDefault="00E2391C" w:rsidP="7571DA93">
      <w:pPr>
        <w:spacing w:after="120" w:line="240" w:lineRule="auto"/>
        <w:jc w:val="both"/>
        <w:rPr>
          <w:rFonts w:ascii="Arial" w:eastAsia="Arial" w:hAnsi="Arial" w:cs="Arial"/>
          <w:b/>
          <w:bCs/>
        </w:rPr>
      </w:pPr>
      <w:r w:rsidRPr="7571DA93">
        <w:rPr>
          <w:rFonts w:ascii="Arial" w:eastAsia="Arial" w:hAnsi="Arial" w:cs="Arial"/>
          <w:b/>
          <w:bCs/>
        </w:rPr>
        <w:t xml:space="preserve"> </w:t>
      </w:r>
    </w:p>
    <w:p w14:paraId="00000023" w14:textId="77777777" w:rsidR="00C05C38" w:rsidRPr="00E2391C" w:rsidRDefault="00E2391C" w:rsidP="00E2391C">
      <w:pPr>
        <w:spacing w:after="120" w:line="240" w:lineRule="auto"/>
        <w:jc w:val="right"/>
        <w:rPr>
          <w:rFonts w:ascii="Arial" w:eastAsia="Arial" w:hAnsi="Arial" w:cs="Arial"/>
          <w:highlight w:val="white"/>
        </w:rPr>
      </w:pPr>
      <w:r w:rsidRPr="7571DA93">
        <w:rPr>
          <w:rFonts w:ascii="Arial" w:eastAsia="Arial" w:hAnsi="Arial" w:cs="Arial"/>
        </w:rPr>
        <w:t xml:space="preserve"> Rio de Janeiro, ___ de ________________ </w:t>
      </w:r>
      <w:proofErr w:type="spellStart"/>
      <w:r w:rsidRPr="7571DA93">
        <w:rPr>
          <w:rFonts w:ascii="Arial" w:eastAsia="Arial" w:hAnsi="Arial" w:cs="Arial"/>
        </w:rPr>
        <w:t>de</w:t>
      </w:r>
      <w:proofErr w:type="spellEnd"/>
      <w:r w:rsidRPr="7571DA93">
        <w:rPr>
          <w:rFonts w:ascii="Arial" w:eastAsia="Arial" w:hAnsi="Arial" w:cs="Arial"/>
        </w:rPr>
        <w:t xml:space="preserve"> </w:t>
      </w:r>
      <w:r w:rsidRPr="7571DA93">
        <w:rPr>
          <w:rFonts w:ascii="Arial" w:eastAsia="Arial" w:hAnsi="Arial" w:cs="Arial"/>
          <w:highlight w:val="white"/>
        </w:rPr>
        <w:t>2023</w:t>
      </w:r>
    </w:p>
    <w:p w14:paraId="00000024" w14:textId="77777777" w:rsidR="00C05C38" w:rsidRPr="00E2391C" w:rsidRDefault="00C05C38" w:rsidP="00E2391C">
      <w:pPr>
        <w:spacing w:after="120" w:line="240" w:lineRule="auto"/>
        <w:ind w:left="100"/>
        <w:jc w:val="right"/>
        <w:rPr>
          <w:rFonts w:ascii="Arial" w:eastAsia="Arial" w:hAnsi="Arial" w:cs="Arial"/>
        </w:rPr>
      </w:pPr>
    </w:p>
    <w:p w14:paraId="00000025" w14:textId="77777777" w:rsidR="00C05C38" w:rsidRPr="00E2391C" w:rsidRDefault="00C05C38" w:rsidP="00E2391C">
      <w:pPr>
        <w:spacing w:after="120" w:line="240" w:lineRule="auto"/>
        <w:ind w:left="100"/>
        <w:jc w:val="center"/>
        <w:rPr>
          <w:rFonts w:ascii="Arial" w:eastAsia="Arial" w:hAnsi="Arial" w:cs="Arial"/>
        </w:rPr>
      </w:pPr>
    </w:p>
    <w:p w14:paraId="00000026" w14:textId="77777777" w:rsidR="00C05C38" w:rsidRPr="00E2391C" w:rsidRDefault="00E2391C" w:rsidP="00E2391C">
      <w:pPr>
        <w:spacing w:after="120" w:line="240" w:lineRule="auto"/>
        <w:ind w:left="100"/>
        <w:jc w:val="center"/>
        <w:rPr>
          <w:rFonts w:ascii="Arial" w:eastAsia="Arial" w:hAnsi="Arial" w:cs="Arial"/>
        </w:rPr>
      </w:pPr>
      <w:r w:rsidRPr="7571DA93">
        <w:rPr>
          <w:rFonts w:ascii="Arial" w:eastAsia="Arial" w:hAnsi="Arial" w:cs="Arial"/>
        </w:rPr>
        <w:t>______________________________________</w:t>
      </w:r>
      <w:proofErr w:type="gramStart"/>
      <w:r w:rsidRPr="7571DA93">
        <w:rPr>
          <w:rFonts w:ascii="Arial" w:eastAsia="Arial" w:hAnsi="Arial" w:cs="Arial"/>
        </w:rPr>
        <w:t>_</w:t>
      </w:r>
      <w:r>
        <w:br/>
      </w:r>
      <w:r w:rsidRPr="7571DA93">
        <w:rPr>
          <w:rFonts w:ascii="Arial" w:eastAsia="Arial" w:hAnsi="Arial" w:cs="Arial"/>
        </w:rPr>
        <w:t>(</w:t>
      </w:r>
      <w:proofErr w:type="gramEnd"/>
      <w:r w:rsidRPr="7571DA93">
        <w:rPr>
          <w:rFonts w:ascii="Arial" w:eastAsia="Arial" w:hAnsi="Arial" w:cs="Arial"/>
        </w:rPr>
        <w:t>Organização da Sociedade Civil)</w:t>
      </w:r>
    </w:p>
    <w:p w14:paraId="00000027" w14:textId="77777777" w:rsidR="00C05C38" w:rsidRPr="00E2391C" w:rsidRDefault="00E2391C" w:rsidP="00E2391C">
      <w:pPr>
        <w:spacing w:after="120" w:line="240" w:lineRule="auto"/>
        <w:ind w:left="100"/>
        <w:jc w:val="center"/>
        <w:rPr>
          <w:rFonts w:ascii="Arial" w:eastAsia="Arial" w:hAnsi="Arial" w:cs="Arial"/>
        </w:rPr>
      </w:pPr>
      <w:r w:rsidRPr="7571DA93">
        <w:rPr>
          <w:rFonts w:ascii="Arial" w:eastAsia="Arial" w:hAnsi="Arial" w:cs="Arial"/>
        </w:rPr>
        <w:t>(Representante Legal)</w:t>
      </w:r>
    </w:p>
    <w:p w14:paraId="00000028" w14:textId="77777777" w:rsidR="00C05C38" w:rsidRPr="00E2391C" w:rsidRDefault="00E2391C" w:rsidP="00E2391C">
      <w:pPr>
        <w:spacing w:after="120" w:line="240" w:lineRule="auto"/>
        <w:ind w:left="100"/>
        <w:jc w:val="center"/>
        <w:rPr>
          <w:rFonts w:ascii="Arial" w:eastAsia="Arial" w:hAnsi="Arial" w:cs="Arial"/>
        </w:rPr>
      </w:pPr>
      <w:r w:rsidRPr="7571DA93">
        <w:rPr>
          <w:rFonts w:ascii="Arial" w:eastAsia="Arial" w:hAnsi="Arial" w:cs="Arial"/>
        </w:rPr>
        <w:t>(Cargo do Representante Legal)</w:t>
      </w:r>
    </w:p>
    <w:p w14:paraId="00000029" w14:textId="77777777" w:rsidR="00C05C38" w:rsidRPr="00E2391C" w:rsidRDefault="00E2391C" w:rsidP="00E2391C">
      <w:pPr>
        <w:spacing w:after="120" w:line="240" w:lineRule="auto"/>
        <w:ind w:left="100"/>
        <w:jc w:val="center"/>
        <w:rPr>
          <w:rFonts w:ascii="Arial" w:eastAsia="Arial" w:hAnsi="Arial" w:cs="Arial"/>
        </w:rPr>
      </w:pPr>
      <w:r w:rsidRPr="7571DA93">
        <w:rPr>
          <w:rFonts w:ascii="Arial" w:eastAsia="Arial" w:hAnsi="Arial" w:cs="Arial"/>
        </w:rPr>
        <w:t>(CPF/MF)</w:t>
      </w:r>
    </w:p>
    <w:p w14:paraId="0000002A" w14:textId="77777777" w:rsidR="00C05C38" w:rsidRPr="00E2391C" w:rsidRDefault="00C05C38" w:rsidP="7571DA93">
      <w:pPr>
        <w:spacing w:after="120" w:line="240" w:lineRule="auto"/>
        <w:ind w:left="100"/>
        <w:jc w:val="both"/>
        <w:rPr>
          <w:rFonts w:ascii="Arial" w:eastAsia="Arial" w:hAnsi="Arial" w:cs="Arial"/>
        </w:rPr>
      </w:pPr>
    </w:p>
    <w:sectPr w:rsidR="00C05C38" w:rsidRPr="00E2391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5C38"/>
    <w:rsid w:val="00776C7E"/>
    <w:rsid w:val="00C05C38"/>
    <w:rsid w:val="00E2391C"/>
    <w:rsid w:val="147FF883"/>
    <w:rsid w:val="18C2EE87"/>
    <w:rsid w:val="224ABA18"/>
    <w:rsid w:val="27624AF0"/>
    <w:rsid w:val="2B402ED8"/>
    <w:rsid w:val="4C37371C"/>
    <w:rsid w:val="5312BD36"/>
    <w:rsid w:val="58EEFA6C"/>
    <w:rsid w:val="5AC1D760"/>
    <w:rsid w:val="727AC21A"/>
    <w:rsid w:val="7571DA93"/>
    <w:rsid w:val="7A43B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35E"/>
  <w15:docId w15:val="{C35DCA1E-63B7-4986-A872-253B0C2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planalto.gov.br/ccivil_03/_Ato2011-2014/2014/Lei/L13019.htm" TargetMode="External"/><Relationship Id="rId12" Type="http://schemas.openxmlformats.org/officeDocument/2006/relationships/hyperlink" Target="http://www.planalto.gov.br/ccivil_03/LEIS/L8429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11-2014/2014/Lei/L13019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nalto.gov.br/ccivil_03/_Ato2011-2014/2014/Lei/L13019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lanalto.gov.br/ccivil_03/_Ato2011-2014/2014/Lei/L1301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65CECB-2EFC-411C-AF6E-B6C86B303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A685C-EF58-4774-A8DD-6A8977F4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47AA2-93B4-40C1-B347-C1F7DA8457D9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Belmonte</cp:lastModifiedBy>
  <cp:revision>7</cp:revision>
  <dcterms:created xsi:type="dcterms:W3CDTF">2023-06-28T15:46:00Z</dcterms:created>
  <dcterms:modified xsi:type="dcterms:W3CDTF">2023-07-25T16:08:00Z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